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3CF8" w:rsidRDefault="00BE3CF8" w:rsidP="00BE3CF8">
      <w:pPr>
        <w:pStyle w:val="a5"/>
        <w:jc w:val="center"/>
        <w:rPr>
          <w:rFonts w:cs="FrankRuehl"/>
          <w:noProof w:val="0"/>
          <w:sz w:val="28"/>
          <w:szCs w:val="28"/>
          <w:rtl/>
        </w:rPr>
      </w:pPr>
      <w:bookmarkStart w:id="0" w:name="_GoBack"/>
      <w:bookmarkEnd w:id="0"/>
      <w:r>
        <w:rPr>
          <w:rFonts w:cs="FrankRuehl"/>
          <w:sz w:val="28"/>
          <w:szCs w:val="28"/>
        </w:rPr>
        <w:drawing>
          <wp:inline distT="0" distB="0" distL="0" distR="0" wp14:anchorId="02C99417" wp14:editId="0A42FAEB">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001"/>
        <w:gridCol w:w="3639"/>
      </w:tblGrid>
      <w:tr w:rsidR="00BE3CF8" w:rsidTr="006B44B5">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BE3CF8" w:rsidRPr="00F038D8" w:rsidRDefault="00BE3CF8" w:rsidP="006B44B5">
                <w:pPr>
                  <w:pStyle w:val="a5"/>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בקריית גת</w:t>
                </w:r>
              </w:p>
            </w:tc>
          </w:sdtContent>
        </w:sdt>
      </w:tr>
      <w:tr w:rsidR="00BE3CF8" w:rsidTr="006B44B5">
        <w:trPr>
          <w:trHeight w:val="337"/>
          <w:jc w:val="center"/>
        </w:trPr>
        <w:tc>
          <w:tcPr>
            <w:tcW w:w="5047" w:type="dxa"/>
          </w:tcPr>
          <w:p w:rsidR="00BE3CF8" w:rsidRDefault="00BE3CF8" w:rsidP="006B44B5">
            <w:pPr>
              <w:rPr>
                <w:b/>
                <w:bCs/>
                <w:noProof w:val="0"/>
                <w:sz w:val="26"/>
                <w:szCs w:val="26"/>
                <w:rtl/>
              </w:rPr>
            </w:pPr>
          </w:p>
        </w:tc>
        <w:tc>
          <w:tcPr>
            <w:tcW w:w="3674" w:type="dxa"/>
          </w:tcPr>
          <w:p w:rsidR="00BE3CF8" w:rsidRDefault="00BE3CF8" w:rsidP="006B44B5">
            <w:pPr>
              <w:pStyle w:val="a5"/>
              <w:jc w:val="right"/>
              <w:rPr>
                <w:b/>
                <w:bCs/>
                <w:noProof w:val="0"/>
                <w:sz w:val="26"/>
                <w:szCs w:val="26"/>
                <w:rtl/>
              </w:rPr>
            </w:pPr>
          </w:p>
        </w:tc>
      </w:tr>
      <w:tr w:rsidR="00BE3CF8" w:rsidTr="006B44B5">
        <w:trPr>
          <w:trHeight w:val="337"/>
          <w:jc w:val="center"/>
        </w:trPr>
        <w:tc>
          <w:tcPr>
            <w:tcW w:w="8721" w:type="dxa"/>
            <w:gridSpan w:val="2"/>
          </w:tcPr>
          <w:p w:rsidR="00BE3CF8" w:rsidRDefault="00BE3CF8" w:rsidP="002B4596">
            <w:pPr>
              <w:rPr>
                <w:b/>
                <w:bCs/>
                <w:noProof w:val="0"/>
                <w:sz w:val="26"/>
                <w:szCs w:val="26"/>
                <w:rtl/>
              </w:rPr>
            </w:pPr>
            <w:r>
              <w:rPr>
                <w:b/>
                <w:bCs/>
                <w:noProof w:val="0"/>
                <w:sz w:val="26"/>
                <w:szCs w:val="26"/>
                <w:rtl/>
              </w:rPr>
              <w:t>ת"ע 78707-01-23 ד</w:t>
            </w:r>
            <w:r w:rsidR="002B4596">
              <w:rPr>
                <w:rFonts w:hint="cs"/>
                <w:b/>
                <w:bCs/>
                <w:noProof w:val="0"/>
                <w:sz w:val="26"/>
                <w:szCs w:val="26"/>
                <w:rtl/>
              </w:rPr>
              <w:t>.</w:t>
            </w:r>
            <w:r>
              <w:rPr>
                <w:b/>
                <w:bCs/>
                <w:noProof w:val="0"/>
                <w:sz w:val="26"/>
                <w:szCs w:val="26"/>
                <w:rtl/>
              </w:rPr>
              <w:t xml:space="preserve"> ואח' נ' האפוטרופוס הכללי במחוז דרום ואח'</w:t>
            </w:r>
          </w:p>
          <w:p w:rsidR="00BE3CF8" w:rsidRPr="007B7765" w:rsidRDefault="00BE3CF8" w:rsidP="006B44B5">
            <w:pPr>
              <w:rPr>
                <w:b/>
                <w:bCs/>
                <w:noProof w:val="0"/>
                <w:sz w:val="2"/>
                <w:szCs w:val="2"/>
                <w:rtl/>
              </w:rPr>
            </w:pPr>
          </w:p>
          <w:p w:rsidR="00BE3CF8" w:rsidRDefault="00BE3CF8" w:rsidP="006B44B5">
            <w:pPr>
              <w:rPr>
                <w:sz w:val="20"/>
                <w:szCs w:val="20"/>
                <w:rtl/>
              </w:rPr>
            </w:pPr>
            <w:r>
              <w:rPr>
                <w:rFonts w:hint="cs"/>
                <w:rtl/>
              </w:rPr>
              <w:t xml:space="preserve">                           </w:t>
            </w:r>
            <w:r>
              <w:rPr>
                <w:rFonts w:hint="cs"/>
                <w:sz w:val="20"/>
                <w:szCs w:val="20"/>
                <w:rtl/>
              </w:rPr>
              <w:t xml:space="preserve">                                       </w:t>
            </w:r>
          </w:p>
          <w:p w:rsidR="00BE3CF8" w:rsidRPr="00E1068A" w:rsidRDefault="00BE3CF8" w:rsidP="006B44B5">
            <w:pPr>
              <w:rPr>
                <w:sz w:val="20"/>
                <w:szCs w:val="20"/>
                <w:rtl/>
              </w:rPr>
            </w:pPr>
          </w:p>
        </w:tc>
      </w:tr>
    </w:tbl>
    <w:p w:rsidR="00BE3CF8" w:rsidRDefault="00BE3CF8">
      <w:pPr>
        <w:rPr>
          <w:rtl/>
        </w:rPr>
      </w:pPr>
    </w:p>
    <w:tbl>
      <w:tblPr>
        <w:tblStyle w:val="a4"/>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BE3CF8" w:rsidTr="006B44B5">
        <w:trPr>
          <w:trHeight w:val="295"/>
          <w:jc w:val="center"/>
        </w:trPr>
        <w:tc>
          <w:tcPr>
            <w:tcW w:w="5049" w:type="dxa"/>
            <w:gridSpan w:val="3"/>
          </w:tcPr>
          <w:p w:rsidR="00BE3CF8" w:rsidRDefault="00BE3CF8" w:rsidP="006B44B5">
            <w:pPr>
              <w:suppressLineNumbers/>
              <w:rPr>
                <w:rFonts w:ascii="Arial" w:hAnsi="Arial"/>
                <w:b/>
                <w:bCs/>
                <w:noProof w:val="0"/>
                <w:sz w:val="26"/>
                <w:szCs w:val="26"/>
                <w:rtl/>
              </w:rPr>
            </w:pPr>
          </w:p>
        </w:tc>
        <w:tc>
          <w:tcPr>
            <w:tcW w:w="3771" w:type="dxa"/>
          </w:tcPr>
          <w:p w:rsidR="00BE3CF8" w:rsidRDefault="00BE3CF8" w:rsidP="006B44B5">
            <w:pPr>
              <w:suppressLineNumbers/>
              <w:rPr>
                <w:rFonts w:ascii="Arial" w:hAnsi="Arial"/>
                <w:b/>
                <w:bCs/>
                <w:noProof w:val="0"/>
                <w:sz w:val="26"/>
                <w:szCs w:val="26"/>
                <w:rtl/>
              </w:rPr>
            </w:pPr>
            <w:r>
              <w:rPr>
                <w:rFonts w:ascii="Arial" w:hAnsi="Arial"/>
                <w:b/>
                <w:bCs/>
                <w:noProof w:val="0"/>
                <w:sz w:val="26"/>
                <w:szCs w:val="26"/>
                <w:rtl/>
              </w:rPr>
              <w:t>מספר בקשה:</w:t>
            </w:r>
            <w:r>
              <w:rPr>
                <w:rFonts w:ascii="Arial" w:hAnsi="Arial"/>
                <w:b/>
                <w:bCs/>
                <w:noProof w:val="0"/>
                <w:sz w:val="32"/>
                <w:szCs w:val="32"/>
                <w:rtl/>
              </w:rPr>
              <w:t>38</w:t>
            </w:r>
          </w:p>
        </w:tc>
      </w:tr>
      <w:tr w:rsidR="00BE3CF8" w:rsidTr="006B44B5">
        <w:trPr>
          <w:jc w:val="center"/>
        </w:trPr>
        <w:tc>
          <w:tcPr>
            <w:tcW w:w="743" w:type="dxa"/>
          </w:tcPr>
          <w:p w:rsidR="00BE3CF8" w:rsidRPr="00A00812" w:rsidRDefault="00BE3CF8" w:rsidP="006B44B5">
            <w:pPr>
              <w:suppressLineNumbers/>
              <w:jc w:val="both"/>
              <w:rPr>
                <w:rFonts w:ascii="Arial" w:hAnsi="Arial"/>
                <w:b/>
                <w:bCs/>
                <w:sz w:val="26"/>
                <w:szCs w:val="26"/>
                <w:rtl/>
              </w:rPr>
            </w:pPr>
            <w:r w:rsidRPr="00A00812">
              <w:rPr>
                <w:rFonts w:ascii="Arial" w:hAnsi="Arial" w:hint="cs"/>
                <w:b/>
                <w:bCs/>
                <w:sz w:val="26"/>
                <w:szCs w:val="26"/>
                <w:rtl/>
              </w:rPr>
              <w:t>ב</w:t>
            </w:r>
            <w:r w:rsidRPr="00A00812">
              <w:rPr>
                <w:rFonts w:ascii="Arial" w:hAnsi="Arial"/>
                <w:b/>
                <w:bCs/>
                <w:sz w:val="26"/>
                <w:szCs w:val="26"/>
                <w:rtl/>
              </w:rPr>
              <w:t xml:space="preserve">פני </w:t>
            </w:r>
          </w:p>
        </w:tc>
        <w:tc>
          <w:tcPr>
            <w:tcW w:w="8077" w:type="dxa"/>
            <w:gridSpan w:val="3"/>
          </w:tcPr>
          <w:p w:rsidR="00BE3CF8" w:rsidRPr="00A00812" w:rsidRDefault="00BE3CF8" w:rsidP="006B44B5">
            <w:pPr>
              <w:suppressLineNumbers/>
              <w:rPr>
                <w:rFonts w:ascii="Arial" w:hAnsi="Arial" w:cs="FrankRuehl"/>
                <w:sz w:val="26"/>
                <w:szCs w:val="26"/>
                <w:highlight w:val="yellow"/>
              </w:rPr>
            </w:pPr>
            <w:r w:rsidRPr="00A00812">
              <w:rPr>
                <w:rFonts w:ascii="Arial" w:hAnsi="Arial" w:hint="cs"/>
                <w:b/>
                <w:bCs/>
                <w:sz w:val="26"/>
                <w:szCs w:val="26"/>
                <w:rtl/>
              </w:rPr>
              <w:t>כב' השופט הבכיר, מרדכי (מוטי) לוי</w:t>
            </w:r>
          </w:p>
        </w:tc>
      </w:tr>
      <w:tr w:rsidR="00BE3CF8" w:rsidTr="006B44B5">
        <w:trPr>
          <w:jc w:val="center"/>
        </w:trPr>
        <w:tc>
          <w:tcPr>
            <w:tcW w:w="3249" w:type="dxa"/>
            <w:gridSpan w:val="2"/>
          </w:tcPr>
          <w:p w:rsidR="00BE3CF8" w:rsidRDefault="00BE3CF8" w:rsidP="006B44B5">
            <w:pPr>
              <w:suppressLineNumbers/>
              <w:rPr>
                <w:rFonts w:ascii="Arial" w:hAnsi="Arial"/>
                <w:b/>
                <w:bCs/>
                <w:noProof w:val="0"/>
                <w:sz w:val="26"/>
                <w:szCs w:val="26"/>
              </w:rPr>
            </w:pPr>
          </w:p>
          <w:p w:rsidR="00BE3CF8" w:rsidRDefault="00BE3CF8" w:rsidP="006B44B5">
            <w:pPr>
              <w:suppressLineNumbers/>
              <w:rPr>
                <w:rFonts w:ascii="Arial" w:hAnsi="Arial"/>
                <w:b/>
                <w:bCs/>
                <w:noProof w:val="0"/>
                <w:sz w:val="26"/>
                <w:szCs w:val="26"/>
                <w:rtl/>
              </w:rPr>
            </w:pPr>
            <w:r>
              <w:rPr>
                <w:rFonts w:ascii="Arial" w:hAnsi="Arial"/>
                <w:b/>
                <w:bCs/>
                <w:noProof w:val="0"/>
                <w:sz w:val="26"/>
                <w:szCs w:val="26"/>
                <w:rtl/>
              </w:rPr>
              <w:t>מבקשים</w:t>
            </w:r>
          </w:p>
        </w:tc>
        <w:tc>
          <w:tcPr>
            <w:tcW w:w="5571" w:type="dxa"/>
            <w:gridSpan w:val="2"/>
          </w:tcPr>
          <w:p w:rsidR="00BE3CF8" w:rsidRDefault="00BE3CF8" w:rsidP="006B44B5">
            <w:pPr>
              <w:suppressLineNumbers/>
              <w:rPr>
                <w:rFonts w:ascii="Arial" w:hAnsi="Arial"/>
                <w:b/>
                <w:bCs/>
                <w:noProof w:val="0"/>
                <w:sz w:val="26"/>
                <w:szCs w:val="26"/>
                <w:rtl/>
              </w:rPr>
            </w:pPr>
          </w:p>
          <w:p w:rsidR="00BE3CF8" w:rsidRPr="00625BC9" w:rsidRDefault="00BE3CF8" w:rsidP="002B4596">
            <w:pPr>
              <w:suppressLineNumbers/>
              <w:rPr>
                <w:b/>
                <w:bCs/>
                <w:noProof w:val="0"/>
                <w:sz w:val="26"/>
                <w:szCs w:val="26"/>
                <w:rtl/>
              </w:rPr>
            </w:pPr>
            <w:r w:rsidRPr="00625BC9">
              <w:rPr>
                <w:rFonts w:ascii="Arial" w:hAnsi="Arial"/>
                <w:b/>
                <w:bCs/>
                <w:noProof w:val="0"/>
                <w:sz w:val="26"/>
                <w:szCs w:val="26"/>
                <w:rtl/>
              </w:rPr>
              <w:t>1.</w:t>
            </w:r>
            <w:r>
              <w:rPr>
                <w:rFonts w:ascii="Arial" w:hAnsi="Arial"/>
                <w:b/>
                <w:bCs/>
                <w:noProof w:val="0"/>
                <w:sz w:val="26"/>
                <w:szCs w:val="26"/>
                <w:rtl/>
              </w:rPr>
              <w:t xml:space="preserve"> </w:t>
            </w:r>
            <w:r w:rsidRPr="00625BC9">
              <w:rPr>
                <w:rFonts w:ascii="Arial" w:hAnsi="Arial"/>
                <w:b/>
                <w:bCs/>
                <w:noProof w:val="0"/>
                <w:sz w:val="26"/>
                <w:szCs w:val="26"/>
                <w:rtl/>
              </w:rPr>
              <w:t>ש</w:t>
            </w:r>
            <w:r w:rsidR="002B4596">
              <w:rPr>
                <w:rFonts w:ascii="Arial" w:hAnsi="Arial" w:hint="cs"/>
                <w:b/>
                <w:bCs/>
                <w:noProof w:val="0"/>
                <w:sz w:val="26"/>
                <w:szCs w:val="26"/>
                <w:rtl/>
              </w:rPr>
              <w:t>.</w:t>
            </w:r>
            <w:r w:rsidRPr="00625BC9">
              <w:rPr>
                <w:rFonts w:ascii="Arial" w:hAnsi="Arial"/>
                <w:b/>
                <w:bCs/>
                <w:noProof w:val="0"/>
                <w:sz w:val="26"/>
                <w:szCs w:val="26"/>
                <w:rtl/>
              </w:rPr>
              <w:t>ד</w:t>
            </w:r>
            <w:r w:rsidR="002B4596">
              <w:rPr>
                <w:rFonts w:ascii="Arial" w:hAnsi="Arial" w:hint="cs"/>
                <w:b/>
                <w:bCs/>
                <w:noProof w:val="0"/>
                <w:sz w:val="26"/>
                <w:szCs w:val="26"/>
                <w:rtl/>
              </w:rPr>
              <w:t>.</w:t>
            </w:r>
          </w:p>
          <w:p w:rsidR="00BE3CF8" w:rsidRDefault="00BE3CF8" w:rsidP="006B44B5">
            <w:pPr>
              <w:rPr>
                <w:rtl/>
              </w:rPr>
            </w:pPr>
            <w:r>
              <w:rPr>
                <w:rFonts w:hint="cs"/>
                <w:rtl/>
              </w:rPr>
              <w:t xml:space="preserve">     ע"י עו"ד טליה גיגי </w:t>
            </w:r>
            <w:r>
              <w:rPr>
                <w:rtl/>
              </w:rPr>
              <w:t>–</w:t>
            </w:r>
            <w:r>
              <w:rPr>
                <w:rFonts w:hint="cs"/>
                <w:rtl/>
              </w:rPr>
              <w:t xml:space="preserve"> אפוטרופא לדין</w:t>
            </w:r>
          </w:p>
          <w:p w:rsidR="00BE3CF8" w:rsidRPr="00625BC9" w:rsidRDefault="00BE3CF8" w:rsidP="006B44B5"/>
          <w:p w:rsidR="00BE3CF8" w:rsidRDefault="00BE3CF8" w:rsidP="002B4596">
            <w:pPr>
              <w:suppressLineNumbers/>
              <w:rPr>
                <w:b/>
                <w:bCs/>
                <w:noProof w:val="0"/>
                <w:sz w:val="26"/>
                <w:szCs w:val="26"/>
              </w:rPr>
            </w:pPr>
            <w:r>
              <w:rPr>
                <w:rFonts w:ascii="Arial" w:hAnsi="Arial"/>
                <w:b/>
                <w:bCs/>
                <w:noProof w:val="0"/>
                <w:sz w:val="26"/>
                <w:szCs w:val="26"/>
                <w:rtl/>
              </w:rPr>
              <w:t>2</w:t>
            </w:r>
            <w:r w:rsidRPr="00DD3016">
              <w:rPr>
                <w:rFonts w:ascii="Arial" w:hAnsi="Arial"/>
                <w:b/>
                <w:bCs/>
                <w:noProof w:val="0"/>
                <w:sz w:val="26"/>
                <w:szCs w:val="26"/>
                <w:rtl/>
              </w:rPr>
              <w:t>.</w:t>
            </w:r>
            <w:r w:rsidRPr="00DD3016">
              <w:rPr>
                <w:rFonts w:ascii="Arial" w:hAnsi="Arial" w:hint="cs"/>
                <w:b/>
                <w:bCs/>
                <w:noProof w:val="0"/>
                <w:sz w:val="26"/>
                <w:szCs w:val="26"/>
                <w:rtl/>
              </w:rPr>
              <w:t xml:space="preserve"> </w:t>
            </w:r>
            <w:r>
              <w:rPr>
                <w:rFonts w:ascii="Arial" w:hAnsi="Arial"/>
                <w:b/>
                <w:bCs/>
                <w:noProof w:val="0"/>
                <w:sz w:val="26"/>
                <w:szCs w:val="26"/>
                <w:rtl/>
              </w:rPr>
              <w:t>ש</w:t>
            </w:r>
            <w:r w:rsidR="002B4596">
              <w:rPr>
                <w:rFonts w:ascii="Arial" w:hAnsi="Arial" w:hint="cs"/>
                <w:b/>
                <w:bCs/>
                <w:noProof w:val="0"/>
                <w:sz w:val="26"/>
                <w:szCs w:val="26"/>
                <w:rtl/>
              </w:rPr>
              <w:t>.</w:t>
            </w:r>
            <w:r>
              <w:rPr>
                <w:rFonts w:ascii="Arial" w:hAnsi="Arial"/>
                <w:b/>
                <w:bCs/>
                <w:noProof w:val="0"/>
                <w:sz w:val="26"/>
                <w:szCs w:val="26"/>
                <w:rtl/>
              </w:rPr>
              <w:t>ד</w:t>
            </w:r>
            <w:r w:rsidR="002B4596">
              <w:rPr>
                <w:rFonts w:ascii="Arial" w:hAnsi="Arial" w:hint="cs"/>
                <w:b/>
                <w:bCs/>
                <w:noProof w:val="0"/>
                <w:sz w:val="26"/>
                <w:szCs w:val="26"/>
                <w:rtl/>
              </w:rPr>
              <w:t>.</w:t>
            </w:r>
          </w:p>
          <w:p w:rsidR="00BE3CF8" w:rsidRDefault="00BE3CF8" w:rsidP="002B4596">
            <w:pPr>
              <w:suppressLineNumbers/>
              <w:rPr>
                <w:b/>
                <w:bCs/>
                <w:noProof w:val="0"/>
                <w:sz w:val="26"/>
                <w:szCs w:val="26"/>
                <w:rtl/>
              </w:rPr>
            </w:pPr>
            <w:r>
              <w:rPr>
                <w:rFonts w:ascii="Arial" w:hAnsi="Arial"/>
                <w:b/>
                <w:bCs/>
                <w:noProof w:val="0"/>
                <w:sz w:val="26"/>
                <w:szCs w:val="26"/>
                <w:rtl/>
              </w:rPr>
              <w:t>3</w:t>
            </w:r>
            <w:r w:rsidRPr="00DD3016">
              <w:rPr>
                <w:rFonts w:ascii="Arial" w:hAnsi="Arial"/>
                <w:b/>
                <w:bCs/>
                <w:noProof w:val="0"/>
                <w:sz w:val="26"/>
                <w:szCs w:val="26"/>
                <w:rtl/>
              </w:rPr>
              <w:t>.</w:t>
            </w:r>
            <w:r w:rsidRPr="00DD3016">
              <w:rPr>
                <w:rFonts w:ascii="Arial" w:hAnsi="Arial" w:hint="cs"/>
                <w:b/>
                <w:bCs/>
                <w:noProof w:val="0"/>
                <w:sz w:val="26"/>
                <w:szCs w:val="26"/>
                <w:rtl/>
              </w:rPr>
              <w:t xml:space="preserve"> </w:t>
            </w:r>
            <w:r>
              <w:rPr>
                <w:rFonts w:ascii="Arial" w:hAnsi="Arial"/>
                <w:b/>
                <w:bCs/>
                <w:noProof w:val="0"/>
                <w:sz w:val="26"/>
                <w:szCs w:val="26"/>
                <w:rtl/>
              </w:rPr>
              <w:t>א</w:t>
            </w:r>
            <w:r w:rsidR="002B4596">
              <w:rPr>
                <w:rFonts w:ascii="Arial" w:hAnsi="Arial" w:hint="cs"/>
                <w:b/>
                <w:bCs/>
                <w:noProof w:val="0"/>
                <w:sz w:val="26"/>
                <w:szCs w:val="26"/>
                <w:rtl/>
              </w:rPr>
              <w:t>.</w:t>
            </w:r>
            <w:r>
              <w:rPr>
                <w:rFonts w:ascii="Arial" w:hAnsi="Arial"/>
                <w:b/>
                <w:bCs/>
                <w:noProof w:val="0"/>
                <w:sz w:val="26"/>
                <w:szCs w:val="26"/>
                <w:rtl/>
              </w:rPr>
              <w:t>ד</w:t>
            </w:r>
            <w:r w:rsidR="002B4596">
              <w:rPr>
                <w:rFonts w:ascii="Arial" w:hAnsi="Arial" w:hint="cs"/>
                <w:b/>
                <w:bCs/>
                <w:noProof w:val="0"/>
                <w:sz w:val="26"/>
                <w:szCs w:val="26"/>
                <w:rtl/>
              </w:rPr>
              <w:t>.</w:t>
            </w:r>
          </w:p>
          <w:p w:rsidR="00BE3CF8" w:rsidRPr="00341B55" w:rsidRDefault="00BE3CF8" w:rsidP="006B44B5">
            <w:pPr>
              <w:suppressLineNumbers/>
              <w:rPr>
                <w:noProof w:val="0"/>
              </w:rPr>
            </w:pPr>
            <w:r>
              <w:rPr>
                <w:rFonts w:hint="cs"/>
                <w:b/>
                <w:bCs/>
                <w:noProof w:val="0"/>
                <w:sz w:val="26"/>
                <w:szCs w:val="26"/>
                <w:rtl/>
              </w:rPr>
              <w:t xml:space="preserve">  </w:t>
            </w:r>
            <w:r w:rsidRPr="00341B55">
              <w:rPr>
                <w:rFonts w:hint="cs"/>
                <w:noProof w:val="0"/>
                <w:rtl/>
              </w:rPr>
              <w:t>מבקשים 2 ו- 3 ע"י עו"ד ירון בן אור</w:t>
            </w:r>
          </w:p>
        </w:tc>
      </w:tr>
      <w:tr w:rsidR="00BE3CF8" w:rsidTr="006B44B5">
        <w:trPr>
          <w:jc w:val="center"/>
        </w:trPr>
        <w:tc>
          <w:tcPr>
            <w:tcW w:w="8820" w:type="dxa"/>
            <w:gridSpan w:val="4"/>
          </w:tcPr>
          <w:p w:rsidR="00BE3CF8" w:rsidRDefault="00BE3CF8" w:rsidP="006B44B5">
            <w:pPr>
              <w:suppressLineNumbers/>
              <w:rPr>
                <w:rFonts w:ascii="Arial" w:hAnsi="Arial"/>
                <w:b/>
                <w:bCs/>
                <w:noProof w:val="0"/>
                <w:sz w:val="26"/>
                <w:szCs w:val="26"/>
                <w:rtl/>
              </w:rPr>
            </w:pPr>
          </w:p>
          <w:p w:rsidR="00BE3CF8" w:rsidRDefault="00BE3CF8" w:rsidP="006B44B5">
            <w:pPr>
              <w:suppressLineNumbers/>
              <w:jc w:val="center"/>
              <w:rPr>
                <w:rFonts w:ascii="Arial" w:hAnsi="Arial"/>
                <w:b/>
                <w:bCs/>
                <w:noProof w:val="0"/>
                <w:sz w:val="26"/>
                <w:szCs w:val="26"/>
              </w:rPr>
            </w:pPr>
            <w:r>
              <w:rPr>
                <w:rFonts w:ascii="Arial" w:hAnsi="Arial"/>
                <w:b/>
                <w:bCs/>
                <w:noProof w:val="0"/>
                <w:sz w:val="26"/>
                <w:szCs w:val="26"/>
                <w:rtl/>
              </w:rPr>
              <w:t>נגד</w:t>
            </w:r>
          </w:p>
        </w:tc>
      </w:tr>
      <w:tr w:rsidR="00BE3CF8" w:rsidTr="006B44B5">
        <w:trPr>
          <w:jc w:val="center"/>
        </w:trPr>
        <w:tc>
          <w:tcPr>
            <w:tcW w:w="3249" w:type="dxa"/>
            <w:gridSpan w:val="2"/>
          </w:tcPr>
          <w:p w:rsidR="00BE3CF8" w:rsidRDefault="00BE3CF8" w:rsidP="006B44B5">
            <w:pPr>
              <w:suppressLineNumbers/>
              <w:rPr>
                <w:rFonts w:ascii="Arial" w:hAnsi="Arial"/>
                <w:b/>
                <w:bCs/>
                <w:noProof w:val="0"/>
                <w:sz w:val="26"/>
                <w:szCs w:val="26"/>
                <w:rtl/>
              </w:rPr>
            </w:pPr>
          </w:p>
          <w:p w:rsidR="00BE3CF8" w:rsidRDefault="00BE3CF8" w:rsidP="006B44B5">
            <w:pPr>
              <w:suppressLineNumbers/>
              <w:rPr>
                <w:rFonts w:ascii="Arial" w:hAnsi="Arial"/>
                <w:b/>
                <w:bCs/>
                <w:noProof w:val="0"/>
                <w:sz w:val="26"/>
                <w:szCs w:val="26"/>
              </w:rPr>
            </w:pPr>
            <w:r>
              <w:rPr>
                <w:rFonts w:ascii="Arial" w:hAnsi="Arial"/>
                <w:b/>
                <w:bCs/>
                <w:noProof w:val="0"/>
                <w:sz w:val="26"/>
                <w:szCs w:val="26"/>
                <w:rtl/>
              </w:rPr>
              <w:t>משיב</w:t>
            </w:r>
          </w:p>
        </w:tc>
        <w:tc>
          <w:tcPr>
            <w:tcW w:w="5571" w:type="dxa"/>
            <w:gridSpan w:val="2"/>
          </w:tcPr>
          <w:p w:rsidR="00BE3CF8" w:rsidRDefault="00BE3CF8" w:rsidP="006B44B5">
            <w:pPr>
              <w:suppressLineNumbers/>
              <w:rPr>
                <w:rFonts w:ascii="Arial" w:hAnsi="Arial"/>
                <w:b/>
                <w:bCs/>
                <w:noProof w:val="0"/>
                <w:sz w:val="26"/>
                <w:szCs w:val="26"/>
                <w:rtl/>
              </w:rPr>
            </w:pPr>
          </w:p>
          <w:p w:rsidR="00BE3CF8" w:rsidRDefault="00BE3CF8" w:rsidP="002B4596">
            <w:pPr>
              <w:suppressLineNumbers/>
              <w:rPr>
                <w:rFonts w:ascii="Arial" w:hAnsi="Arial"/>
                <w:b/>
                <w:bCs/>
                <w:noProof w:val="0"/>
                <w:sz w:val="26"/>
                <w:szCs w:val="26"/>
                <w:rtl/>
              </w:rPr>
            </w:pPr>
            <w:r>
              <w:rPr>
                <w:rFonts w:ascii="Arial" w:hAnsi="Arial" w:hint="cs"/>
                <w:b/>
                <w:bCs/>
                <w:noProof w:val="0"/>
                <w:sz w:val="26"/>
                <w:szCs w:val="26"/>
                <w:rtl/>
              </w:rPr>
              <w:t>א</w:t>
            </w:r>
            <w:r w:rsidR="002B4596">
              <w:rPr>
                <w:rFonts w:ascii="Arial" w:hAnsi="Arial" w:hint="cs"/>
                <w:b/>
                <w:bCs/>
                <w:noProof w:val="0"/>
                <w:sz w:val="26"/>
                <w:szCs w:val="26"/>
                <w:rtl/>
              </w:rPr>
              <w:t xml:space="preserve">.ד. </w:t>
            </w:r>
          </w:p>
          <w:p w:rsidR="00BE3CF8" w:rsidRDefault="00BE3CF8" w:rsidP="006B44B5">
            <w:pPr>
              <w:suppressLineNumbers/>
              <w:rPr>
                <w:b/>
                <w:bCs/>
                <w:noProof w:val="0"/>
                <w:sz w:val="26"/>
                <w:szCs w:val="26"/>
                <w:rtl/>
              </w:rPr>
            </w:pPr>
            <w:r>
              <w:rPr>
                <w:rFonts w:ascii="Arial" w:hAnsi="Arial" w:hint="cs"/>
                <w:noProof w:val="0"/>
                <w:rtl/>
              </w:rPr>
              <w:t>מיוצג ע"י עו"ד יורם ביתן</w:t>
            </w:r>
          </w:p>
        </w:tc>
      </w:tr>
      <w:tr w:rsidR="00BE3CF8" w:rsidTr="006B44B5">
        <w:trPr>
          <w:jc w:val="center"/>
        </w:trPr>
        <w:tc>
          <w:tcPr>
            <w:tcW w:w="8820" w:type="dxa"/>
            <w:gridSpan w:val="4"/>
          </w:tcPr>
          <w:p w:rsidR="00BE3CF8" w:rsidRDefault="00BE3CF8" w:rsidP="006B44B5">
            <w:pPr>
              <w:suppressLineNumbers/>
              <w:rPr>
                <w:rFonts w:ascii="Arial" w:hAnsi="Arial"/>
                <w:b/>
                <w:bCs/>
                <w:noProof w:val="0"/>
                <w:sz w:val="26"/>
                <w:szCs w:val="26"/>
                <w:rtl/>
              </w:rPr>
            </w:pPr>
          </w:p>
        </w:tc>
      </w:tr>
    </w:tbl>
    <w:p w:rsidR="00BE3CF8" w:rsidRDefault="00BE3CF8" w:rsidP="00BE3CF8">
      <w:pPr>
        <w:suppressLineNumbers/>
        <w:rPr>
          <w:rtl/>
        </w:rPr>
      </w:pPr>
    </w:p>
    <w:tbl>
      <w:tblPr>
        <w:tblStyle w:val="a4"/>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BE3CF8" w:rsidRPr="00DE1E7D" w:rsidTr="006B44B5">
        <w:trPr>
          <w:jc w:val="center"/>
        </w:trPr>
        <w:tc>
          <w:tcPr>
            <w:tcW w:w="8820" w:type="dxa"/>
          </w:tcPr>
          <w:p w:rsidR="00BE3CF8" w:rsidRDefault="00BE3CF8" w:rsidP="006B44B5">
            <w:pPr>
              <w:bidi w:val="0"/>
              <w:jc w:val="center"/>
              <w:rPr>
                <w:rFonts w:ascii="Arial" w:hAnsi="Arial"/>
                <w:b/>
                <w:bCs/>
                <w:noProof w:val="0"/>
                <w:sz w:val="28"/>
                <w:szCs w:val="28"/>
                <w:u w:val="single"/>
              </w:rPr>
            </w:pPr>
            <w:r w:rsidRPr="00D44968">
              <w:rPr>
                <w:rFonts w:ascii="Arial" w:hAnsi="Arial" w:hint="cs"/>
                <w:b/>
                <w:bCs/>
                <w:noProof w:val="0"/>
                <w:sz w:val="28"/>
                <w:szCs w:val="28"/>
                <w:u w:val="single"/>
                <w:rtl/>
              </w:rPr>
              <w:t>החלטה</w:t>
            </w:r>
          </w:p>
          <w:p w:rsidR="00BE3CF8" w:rsidRPr="00341B55" w:rsidRDefault="00BE3CF8" w:rsidP="006B44B5">
            <w:pPr>
              <w:bidi w:val="0"/>
              <w:jc w:val="center"/>
              <w:rPr>
                <w:rFonts w:ascii="Arial" w:hAnsi="Arial"/>
                <w:b/>
                <w:bCs/>
                <w:noProof w:val="0"/>
                <w:u w:val="single"/>
              </w:rPr>
            </w:pPr>
            <w:r w:rsidRPr="00341B55">
              <w:rPr>
                <w:rFonts w:ascii="Arial" w:hAnsi="Arial" w:hint="cs"/>
                <w:b/>
                <w:bCs/>
                <w:noProof w:val="0"/>
                <w:u w:val="single"/>
                <w:rtl/>
              </w:rPr>
              <w:t>בבקשה למתן פסק דין חלקי</w:t>
            </w:r>
          </w:p>
          <w:p w:rsidR="00BE3CF8" w:rsidRPr="00D44968" w:rsidRDefault="00BE3CF8" w:rsidP="006B44B5">
            <w:pPr>
              <w:bidi w:val="0"/>
              <w:jc w:val="center"/>
              <w:rPr>
                <w:rFonts w:ascii="Arial" w:hAnsi="Arial"/>
                <w:b/>
                <w:bCs/>
                <w:noProof w:val="0"/>
                <w:sz w:val="28"/>
                <w:szCs w:val="28"/>
                <w:u w:val="single"/>
              </w:rPr>
            </w:pPr>
          </w:p>
        </w:tc>
      </w:tr>
    </w:tbl>
    <w:p w:rsidR="00BE3CF8" w:rsidRPr="00341B55" w:rsidRDefault="00BE3CF8" w:rsidP="00BE3CF8">
      <w:pPr>
        <w:spacing w:line="360" w:lineRule="auto"/>
        <w:jc w:val="both"/>
        <w:rPr>
          <w:rFonts w:ascii="David" w:hAnsi="David"/>
          <w:noProof w:val="0"/>
          <w:rtl/>
        </w:rPr>
      </w:pPr>
      <w:bookmarkStart w:id="1" w:name="NGCSBookmark"/>
      <w:bookmarkEnd w:id="1"/>
      <w:r w:rsidRPr="00341B55">
        <w:rPr>
          <w:rFonts w:ascii="David" w:hAnsi="David"/>
          <w:rtl/>
        </w:rPr>
        <w:t>1.</w:t>
      </w:r>
      <w:r>
        <w:rPr>
          <w:rFonts w:ascii="David" w:hAnsi="David"/>
          <w:rtl/>
        </w:rPr>
        <w:tab/>
      </w:r>
      <w:r w:rsidRPr="00341B55">
        <w:rPr>
          <w:rFonts w:ascii="David" w:hAnsi="David"/>
          <w:rtl/>
        </w:rPr>
        <w:t>הבקשה שלפני הוכתרה בכותרת "</w:t>
      </w:r>
      <w:r w:rsidRPr="00341B55">
        <w:rPr>
          <w:rFonts w:ascii="David" w:hAnsi="David"/>
          <w:u w:val="single"/>
          <w:rtl/>
        </w:rPr>
        <w:t>בקשה דחופה למתן פסק דין חלקי</w:t>
      </w:r>
      <w:r w:rsidRPr="00341B55">
        <w:rPr>
          <w:rFonts w:ascii="David" w:hAnsi="David"/>
          <w:rtl/>
        </w:rPr>
        <w:t>" (להלן-</w:t>
      </w:r>
      <w:r w:rsidRPr="00341B55">
        <w:rPr>
          <w:rFonts w:ascii="Miriam" w:hAnsi="Miriam" w:cs="Miriam"/>
          <w:b/>
          <w:bCs/>
          <w:rtl/>
        </w:rPr>
        <w:t>הבקשה</w:t>
      </w:r>
      <w:r w:rsidRPr="00341B55">
        <w:rPr>
          <w:rFonts w:ascii="David" w:hAnsi="David"/>
          <w:rtl/>
        </w:rPr>
        <w:t>).</w:t>
      </w:r>
    </w:p>
    <w:p w:rsidR="00BE3CF8" w:rsidRPr="00341B55" w:rsidRDefault="00BE3CF8" w:rsidP="00BE3CF8">
      <w:pPr>
        <w:rPr>
          <w:noProof w:val="0"/>
        </w:rPr>
      </w:pPr>
    </w:p>
    <w:p w:rsidR="00BE3CF8" w:rsidRDefault="00BE3CF8" w:rsidP="002B4596">
      <w:pPr>
        <w:spacing w:line="360" w:lineRule="auto"/>
        <w:ind w:left="720" w:hanging="720"/>
        <w:jc w:val="both"/>
        <w:rPr>
          <w:rFonts w:ascii="David" w:hAnsi="David"/>
          <w:rtl/>
        </w:rPr>
      </w:pPr>
      <w:r>
        <w:rPr>
          <w:rFonts w:ascii="David" w:hAnsi="David"/>
          <w:rtl/>
        </w:rPr>
        <w:t>2.</w:t>
      </w:r>
      <w:r>
        <w:rPr>
          <w:rFonts w:ascii="David" w:hAnsi="David"/>
          <w:rtl/>
        </w:rPr>
        <w:tab/>
        <w:t>עניינה של התביעה בה הוגשה הבקשה הוא תביעה "</w:t>
      </w:r>
      <w:r>
        <w:rPr>
          <w:rFonts w:ascii="David" w:hAnsi="David"/>
          <w:u w:val="single"/>
          <w:rtl/>
        </w:rPr>
        <w:t>לביטול צו קיום צוואה</w:t>
      </w:r>
      <w:r>
        <w:rPr>
          <w:rFonts w:ascii="David" w:hAnsi="David"/>
          <w:rtl/>
        </w:rPr>
        <w:t>"  של המנוח מ</w:t>
      </w:r>
      <w:r w:rsidR="002B4596">
        <w:rPr>
          <w:rFonts w:ascii="David" w:hAnsi="David" w:hint="cs"/>
          <w:rtl/>
        </w:rPr>
        <w:t>.</w:t>
      </w:r>
      <w:r>
        <w:rPr>
          <w:rFonts w:ascii="David" w:hAnsi="David"/>
          <w:rtl/>
        </w:rPr>
        <w:t xml:space="preserve"> ד</w:t>
      </w:r>
      <w:r w:rsidR="002B4596">
        <w:rPr>
          <w:rFonts w:ascii="David" w:hAnsi="David" w:hint="cs"/>
          <w:rtl/>
        </w:rPr>
        <w:t>. ז"ל</w:t>
      </w:r>
    </w:p>
    <w:p w:rsidR="00BE3CF8" w:rsidRDefault="00BE3CF8" w:rsidP="00BE3CF8">
      <w:pPr>
        <w:spacing w:line="360" w:lineRule="auto"/>
        <w:ind w:left="720" w:hanging="720"/>
        <w:jc w:val="both"/>
        <w:rPr>
          <w:rFonts w:ascii="David" w:hAnsi="David"/>
          <w:rtl/>
        </w:rPr>
      </w:pPr>
    </w:p>
    <w:p w:rsidR="00BE3CF8" w:rsidRDefault="00BE3CF8" w:rsidP="00BE3CF8">
      <w:pPr>
        <w:spacing w:line="360" w:lineRule="auto"/>
        <w:jc w:val="both"/>
        <w:rPr>
          <w:rFonts w:ascii="David" w:hAnsi="David"/>
          <w:rtl/>
        </w:rPr>
      </w:pPr>
      <w:r>
        <w:rPr>
          <w:rFonts w:ascii="David" w:hAnsi="David"/>
          <w:rtl/>
        </w:rPr>
        <w:t>3.</w:t>
      </w:r>
      <w:r>
        <w:rPr>
          <w:rFonts w:ascii="David" w:hAnsi="David"/>
          <w:rtl/>
        </w:rPr>
        <w:tab/>
        <w:t>בכתב התביעה  הגדירו המבקשים את מסגרת התביעה ועצרו לסעדים הבאים:</w:t>
      </w:r>
    </w:p>
    <w:p w:rsidR="00BE3CF8" w:rsidRDefault="00BE3CF8" w:rsidP="00BE3CF8">
      <w:pPr>
        <w:spacing w:line="360" w:lineRule="auto"/>
        <w:jc w:val="both"/>
        <w:rPr>
          <w:rFonts w:ascii="David" w:hAnsi="David"/>
          <w:rtl/>
        </w:rPr>
      </w:pPr>
    </w:p>
    <w:p w:rsidR="00BE3CF8" w:rsidRDefault="00BE3CF8" w:rsidP="00BE3CF8">
      <w:pPr>
        <w:spacing w:line="360" w:lineRule="auto"/>
        <w:ind w:left="1440" w:hanging="720"/>
        <w:jc w:val="both"/>
        <w:rPr>
          <w:rFonts w:ascii="David" w:hAnsi="David"/>
          <w:b/>
          <w:bCs/>
          <w:rtl/>
        </w:rPr>
      </w:pPr>
      <w:r>
        <w:rPr>
          <w:rFonts w:ascii="David" w:hAnsi="David"/>
          <w:rtl/>
        </w:rPr>
        <w:t>"</w:t>
      </w:r>
      <w:r>
        <w:rPr>
          <w:rFonts w:ascii="David" w:hAnsi="David"/>
          <w:b/>
          <w:bCs/>
          <w:rtl/>
        </w:rPr>
        <w:t>א.</w:t>
      </w:r>
      <w:r>
        <w:rPr>
          <w:rFonts w:ascii="David" w:hAnsi="David"/>
          <w:b/>
          <w:bCs/>
          <w:rtl/>
        </w:rPr>
        <w:tab/>
        <w:t>לבטל את צו קיום הצוואה אשר ניתן ביום 13/12/2021 בגין צוואתו המבוטלת של המנוח מיום 11/01/2021".</w:t>
      </w:r>
    </w:p>
    <w:p w:rsidR="00BE3CF8" w:rsidRDefault="00BE3CF8" w:rsidP="00BE3CF8">
      <w:pPr>
        <w:spacing w:line="360" w:lineRule="auto"/>
        <w:ind w:left="720"/>
        <w:jc w:val="both"/>
        <w:rPr>
          <w:rFonts w:ascii="David" w:hAnsi="David"/>
          <w:b/>
          <w:bCs/>
          <w:rtl/>
        </w:rPr>
      </w:pPr>
      <w:r>
        <w:rPr>
          <w:rFonts w:ascii="David" w:hAnsi="David"/>
          <w:b/>
          <w:bCs/>
          <w:rtl/>
        </w:rPr>
        <w:t>ב.</w:t>
      </w:r>
      <w:r>
        <w:rPr>
          <w:rFonts w:ascii="David" w:hAnsi="David"/>
          <w:b/>
          <w:bCs/>
          <w:rtl/>
        </w:rPr>
        <w:tab/>
        <w:t>לעכב את ביצוע הצו עד מתן הכרעה שיפוטית סופית בעניין.</w:t>
      </w:r>
    </w:p>
    <w:p w:rsidR="00BE3CF8" w:rsidRDefault="00BE3CF8" w:rsidP="00BE3CF8">
      <w:pPr>
        <w:spacing w:line="360" w:lineRule="auto"/>
        <w:ind w:left="1440" w:hanging="720"/>
        <w:jc w:val="both"/>
        <w:rPr>
          <w:rFonts w:ascii="David" w:hAnsi="David"/>
          <w:rtl/>
        </w:rPr>
      </w:pPr>
      <w:r>
        <w:rPr>
          <w:rFonts w:ascii="David" w:hAnsi="David"/>
          <w:b/>
          <w:bCs/>
          <w:rtl/>
        </w:rPr>
        <w:t>ג.</w:t>
      </w:r>
      <w:r>
        <w:rPr>
          <w:rFonts w:ascii="David" w:hAnsi="David"/>
          <w:b/>
          <w:bCs/>
          <w:rtl/>
        </w:rPr>
        <w:tab/>
        <w:t>לקבוע כי ירושת המנוח תחולק בין יורשי המנוח, בהתאם לכללים הקבועים בסעיף 10 לחוק הירושה</w:t>
      </w:r>
      <w:r>
        <w:rPr>
          <w:rFonts w:ascii="David" w:hAnsi="David"/>
          <w:rtl/>
        </w:rPr>
        <w:t>"</w:t>
      </w:r>
      <w:r>
        <w:rPr>
          <w:rFonts w:ascii="David" w:hAnsi="David" w:hint="cs"/>
          <w:rtl/>
        </w:rPr>
        <w:t>.</w:t>
      </w:r>
    </w:p>
    <w:p w:rsidR="00BE3CF8" w:rsidRDefault="00BE3CF8" w:rsidP="00BE3CF8">
      <w:pPr>
        <w:spacing w:line="360" w:lineRule="auto"/>
        <w:ind w:left="1440" w:hanging="720"/>
        <w:jc w:val="both"/>
        <w:rPr>
          <w:rFonts w:ascii="David" w:hAnsi="David"/>
          <w:rtl/>
        </w:rPr>
      </w:pPr>
      <w:r>
        <w:rPr>
          <w:rFonts w:ascii="David" w:hAnsi="David"/>
          <w:rtl/>
        </w:rPr>
        <w:t xml:space="preserve"> </w:t>
      </w:r>
    </w:p>
    <w:p w:rsidR="00BE3CF8" w:rsidRDefault="00BE3CF8" w:rsidP="00BE3CF8">
      <w:pPr>
        <w:spacing w:line="360" w:lineRule="auto"/>
        <w:ind w:left="720" w:hanging="720"/>
        <w:jc w:val="both"/>
        <w:rPr>
          <w:rFonts w:ascii="David" w:hAnsi="David"/>
          <w:rtl/>
        </w:rPr>
      </w:pPr>
      <w:r>
        <w:rPr>
          <w:rFonts w:ascii="David" w:hAnsi="David"/>
          <w:rtl/>
        </w:rPr>
        <w:t>4.</w:t>
      </w:r>
      <w:r>
        <w:rPr>
          <w:rFonts w:ascii="David" w:hAnsi="David"/>
          <w:rtl/>
        </w:rPr>
        <w:tab/>
        <w:t>בפרק העתירות (סעיף 28) הוסיפו המבקשים לבקשתם בקשה שככל ואין בדעת הרשם לענייני ירושה לבטל את צו קיום יורה על העברת הדיון בבקשה לבית המשפט.</w:t>
      </w:r>
    </w:p>
    <w:p w:rsidR="00BE3CF8" w:rsidRDefault="00BE3CF8" w:rsidP="00BE3CF8">
      <w:pPr>
        <w:spacing w:line="360" w:lineRule="auto"/>
        <w:ind w:left="720" w:hanging="720"/>
        <w:jc w:val="both"/>
        <w:rPr>
          <w:rFonts w:ascii="David" w:hAnsi="David"/>
          <w:rtl/>
        </w:rPr>
      </w:pPr>
    </w:p>
    <w:p w:rsidR="00BE3CF8" w:rsidRDefault="00BE3CF8" w:rsidP="00BE3CF8">
      <w:pPr>
        <w:spacing w:line="360" w:lineRule="auto"/>
        <w:ind w:left="720" w:hanging="720"/>
        <w:jc w:val="both"/>
        <w:rPr>
          <w:rFonts w:ascii="David" w:hAnsi="David"/>
          <w:b/>
          <w:bCs/>
          <w:rtl/>
        </w:rPr>
      </w:pPr>
      <w:r>
        <w:rPr>
          <w:rFonts w:ascii="David" w:hAnsi="David"/>
          <w:b/>
          <w:bCs/>
          <w:u w:val="single"/>
          <w:rtl/>
        </w:rPr>
        <w:t>בקשת המבקשים</w:t>
      </w:r>
      <w:r>
        <w:rPr>
          <w:rFonts w:ascii="David" w:hAnsi="David"/>
          <w:b/>
          <w:bCs/>
          <w:rtl/>
        </w:rPr>
        <w:t>:</w:t>
      </w:r>
    </w:p>
    <w:p w:rsidR="00BE3CF8" w:rsidRDefault="00BE3CF8" w:rsidP="00BE3CF8">
      <w:pPr>
        <w:spacing w:line="360" w:lineRule="auto"/>
        <w:ind w:left="720" w:hanging="720"/>
        <w:jc w:val="both"/>
        <w:rPr>
          <w:rFonts w:ascii="David" w:hAnsi="David"/>
          <w:b/>
          <w:bCs/>
          <w:rtl/>
        </w:rPr>
      </w:pPr>
    </w:p>
    <w:p w:rsidR="00BE3CF8" w:rsidRDefault="00BE3CF8" w:rsidP="00BE3CF8">
      <w:pPr>
        <w:spacing w:line="360" w:lineRule="auto"/>
        <w:ind w:left="720" w:hanging="720"/>
        <w:jc w:val="both"/>
        <w:rPr>
          <w:rFonts w:ascii="David" w:hAnsi="David"/>
          <w:rtl/>
        </w:rPr>
      </w:pPr>
      <w:r>
        <w:rPr>
          <w:rFonts w:ascii="David" w:hAnsi="David"/>
          <w:rtl/>
        </w:rPr>
        <w:t>5.</w:t>
      </w:r>
      <w:r>
        <w:rPr>
          <w:rFonts w:ascii="David" w:hAnsi="David"/>
          <w:rtl/>
        </w:rPr>
        <w:tab/>
        <w:t>בבקשתם טענו המבקשים שיש לתת את פסק הדין בשל הדברים הבאים:</w:t>
      </w:r>
    </w:p>
    <w:p w:rsidR="002B4596" w:rsidRDefault="002B4596" w:rsidP="00BE3CF8">
      <w:pPr>
        <w:spacing w:line="360" w:lineRule="auto"/>
        <w:ind w:left="720" w:hanging="720"/>
        <w:jc w:val="both"/>
        <w:rPr>
          <w:rFonts w:ascii="David" w:hAnsi="David"/>
          <w:rtl/>
        </w:rPr>
      </w:pPr>
    </w:p>
    <w:p w:rsidR="00BE3CF8" w:rsidRDefault="00BE3CF8" w:rsidP="00BE3CF8">
      <w:pPr>
        <w:spacing w:line="360" w:lineRule="auto"/>
        <w:ind w:left="720"/>
        <w:jc w:val="both"/>
        <w:rPr>
          <w:rFonts w:ascii="David" w:hAnsi="David"/>
          <w:rtl/>
        </w:rPr>
      </w:pPr>
      <w:r>
        <w:rPr>
          <w:rFonts w:ascii="David" w:hAnsi="David"/>
          <w:rtl/>
        </w:rPr>
        <w:t>א.</w:t>
      </w:r>
      <w:r>
        <w:rPr>
          <w:rFonts w:ascii="David" w:hAnsi="David"/>
          <w:rtl/>
        </w:rPr>
        <w:tab/>
      </w:r>
      <w:r>
        <w:rPr>
          <w:rFonts w:ascii="David" w:hAnsi="David"/>
          <w:u w:val="single"/>
          <w:rtl/>
        </w:rPr>
        <w:t>המשיב הודה שבענייני נחלות אין לצוואה משמעות</w:t>
      </w:r>
      <w:r>
        <w:rPr>
          <w:rFonts w:ascii="David" w:hAnsi="David"/>
          <w:rtl/>
        </w:rPr>
        <w:t xml:space="preserve">: </w:t>
      </w:r>
    </w:p>
    <w:p w:rsidR="00BE3CF8" w:rsidRDefault="00BE3CF8" w:rsidP="00BE3CF8">
      <w:pPr>
        <w:spacing w:line="360" w:lineRule="auto"/>
        <w:ind w:left="720"/>
        <w:jc w:val="both"/>
        <w:rPr>
          <w:rFonts w:ascii="David" w:hAnsi="David"/>
          <w:rtl/>
        </w:rPr>
      </w:pPr>
    </w:p>
    <w:p w:rsidR="00BE3CF8" w:rsidRDefault="00BE3CF8" w:rsidP="00BE3CF8">
      <w:pPr>
        <w:spacing w:line="360" w:lineRule="auto"/>
        <w:ind w:left="1440" w:firstLine="60"/>
        <w:jc w:val="both"/>
        <w:rPr>
          <w:rFonts w:ascii="David" w:hAnsi="David"/>
          <w:rtl/>
        </w:rPr>
      </w:pPr>
      <w:r>
        <w:rPr>
          <w:rFonts w:ascii="David" w:hAnsi="David"/>
          <w:rtl/>
        </w:rPr>
        <w:t xml:space="preserve">הפנו לדברי ב"כ המשיב בדיון מיום 1.5.2023 בו אמר ש" </w:t>
      </w:r>
      <w:r>
        <w:rPr>
          <w:rFonts w:ascii="David" w:hAnsi="David"/>
          <w:b/>
          <w:bCs/>
          <w:u w:val="single"/>
          <w:rtl/>
        </w:rPr>
        <w:t>בענייני נחלות וצוואת אין משמעות היות ובאופן אוטומטי בנחלות עוברות הזכויות מבן זוג אחד שנפטר לבן זוג הנותר בחיים</w:t>
      </w:r>
      <w:r>
        <w:rPr>
          <w:rFonts w:ascii="David" w:hAnsi="David"/>
          <w:rtl/>
        </w:rPr>
        <w:t>.."</w:t>
      </w:r>
      <w:r>
        <w:rPr>
          <w:rFonts w:ascii="David" w:hAnsi="David" w:hint="cs"/>
          <w:rtl/>
        </w:rPr>
        <w:t>.</w:t>
      </w:r>
    </w:p>
    <w:p w:rsidR="00BE3CF8" w:rsidRDefault="00BE3CF8" w:rsidP="00BE3CF8">
      <w:pPr>
        <w:spacing w:line="360" w:lineRule="auto"/>
        <w:ind w:left="1440" w:firstLine="60"/>
        <w:jc w:val="both"/>
        <w:rPr>
          <w:rFonts w:ascii="David" w:hAnsi="David"/>
          <w:rtl/>
        </w:rPr>
      </w:pPr>
      <w:r>
        <w:rPr>
          <w:rFonts w:ascii="David" w:hAnsi="David"/>
          <w:rtl/>
        </w:rPr>
        <w:t xml:space="preserve"> </w:t>
      </w:r>
    </w:p>
    <w:p w:rsidR="00BE3CF8" w:rsidRDefault="00BE3CF8" w:rsidP="00BE3CF8">
      <w:pPr>
        <w:spacing w:line="360" w:lineRule="auto"/>
        <w:ind w:left="1440"/>
        <w:jc w:val="both"/>
        <w:rPr>
          <w:rFonts w:ascii="David" w:hAnsi="David"/>
          <w:rtl/>
        </w:rPr>
      </w:pPr>
      <w:r>
        <w:rPr>
          <w:rFonts w:ascii="David" w:hAnsi="David"/>
          <w:rtl/>
        </w:rPr>
        <w:t>המשיך ב"כ המשיבים וציטט את המשך דברי ב"כ המשיב לדברים דלעיל "...</w:t>
      </w:r>
      <w:r>
        <w:rPr>
          <w:rFonts w:ascii="David" w:hAnsi="David"/>
          <w:b/>
          <w:bCs/>
          <w:rtl/>
        </w:rPr>
        <w:t>אלא אם הועברו הזכויות האלה עוד בחייהם לצד ג' בכל דרך אפשרית וזה המקרה שלפנינו ולפיכך אין קשר בין הדברים</w:t>
      </w:r>
      <w:r>
        <w:rPr>
          <w:rFonts w:ascii="David" w:hAnsi="David"/>
          <w:rtl/>
        </w:rPr>
        <w:t>".</w:t>
      </w:r>
    </w:p>
    <w:p w:rsidR="00BE3CF8" w:rsidRDefault="00BE3CF8" w:rsidP="00BE3CF8">
      <w:pPr>
        <w:spacing w:line="360" w:lineRule="auto"/>
        <w:ind w:left="1440"/>
        <w:jc w:val="both"/>
        <w:rPr>
          <w:rFonts w:ascii="David" w:hAnsi="David"/>
          <w:rtl/>
        </w:rPr>
      </w:pPr>
    </w:p>
    <w:p w:rsidR="00BE3CF8" w:rsidRDefault="00BE3CF8" w:rsidP="00BE3CF8">
      <w:pPr>
        <w:spacing w:line="360" w:lineRule="auto"/>
        <w:ind w:left="720" w:hanging="720"/>
        <w:jc w:val="both"/>
        <w:rPr>
          <w:rFonts w:ascii="David" w:hAnsi="David"/>
          <w:rtl/>
        </w:rPr>
      </w:pPr>
      <w:r>
        <w:rPr>
          <w:rFonts w:ascii="David" w:hAnsi="David"/>
          <w:rtl/>
        </w:rPr>
        <w:tab/>
        <w:t>ב.</w:t>
      </w:r>
      <w:r>
        <w:rPr>
          <w:rFonts w:ascii="David" w:hAnsi="David"/>
          <w:rtl/>
        </w:rPr>
        <w:tab/>
      </w:r>
      <w:r>
        <w:rPr>
          <w:rFonts w:ascii="David" w:hAnsi="David"/>
          <w:u w:val="single"/>
          <w:rtl/>
        </w:rPr>
        <w:t>המשיב הודה שצוואת המנוח לא רלוונטית למשק</w:t>
      </w:r>
      <w:r>
        <w:rPr>
          <w:rFonts w:ascii="David" w:hAnsi="David"/>
          <w:rtl/>
        </w:rPr>
        <w:t xml:space="preserve">: </w:t>
      </w:r>
    </w:p>
    <w:p w:rsidR="00BE3CF8" w:rsidRDefault="00BE3CF8" w:rsidP="00BE3CF8">
      <w:pPr>
        <w:spacing w:line="360" w:lineRule="auto"/>
        <w:ind w:left="720" w:hanging="720"/>
        <w:jc w:val="both"/>
        <w:rPr>
          <w:rFonts w:ascii="David" w:hAnsi="David"/>
          <w:rtl/>
        </w:rPr>
      </w:pPr>
    </w:p>
    <w:p w:rsidR="00BE3CF8" w:rsidRDefault="00BE3CF8" w:rsidP="00BE3CF8">
      <w:pPr>
        <w:spacing w:line="360" w:lineRule="auto"/>
        <w:ind w:left="1440"/>
        <w:jc w:val="both"/>
        <w:rPr>
          <w:rFonts w:ascii="David" w:hAnsi="David"/>
          <w:rtl/>
        </w:rPr>
      </w:pPr>
      <w:r>
        <w:rPr>
          <w:rFonts w:ascii="David" w:hAnsi="David"/>
          <w:rtl/>
        </w:rPr>
        <w:t>בא כוח המבקשים הפנה לפרוטוקול הדיון מיום 5.7.2022 (בתיקים נוספים בין הצדדים  68893-10-21 ו- 9914-04-22). ב"כ המבקשים ציטט מפרוטוקול הדיון עמ' 7 ש' 8-1 ועמ' 8 ש' 11 (לפני כב' השופט ממן) המובאים להלן בהתאמה:</w:t>
      </w:r>
    </w:p>
    <w:p w:rsidR="00BE3CF8" w:rsidRDefault="00BE3CF8" w:rsidP="00BE3CF8">
      <w:pPr>
        <w:spacing w:line="360" w:lineRule="auto"/>
        <w:ind w:left="1440"/>
        <w:jc w:val="both"/>
        <w:rPr>
          <w:rFonts w:ascii="David" w:hAnsi="David"/>
          <w:rtl/>
        </w:rPr>
      </w:pPr>
      <w:r>
        <w:rPr>
          <w:rFonts w:ascii="David" w:hAnsi="David"/>
          <w:rtl/>
        </w:rPr>
        <w:t xml:space="preserve">  </w:t>
      </w:r>
    </w:p>
    <w:p w:rsidR="00BE3CF8" w:rsidRDefault="00BE3CF8" w:rsidP="00BE3CF8">
      <w:pPr>
        <w:spacing w:line="360" w:lineRule="auto"/>
        <w:ind w:left="1440"/>
        <w:jc w:val="both"/>
        <w:rPr>
          <w:rFonts w:ascii="David" w:hAnsi="David"/>
          <w:b/>
          <w:bCs/>
          <w:rtl/>
        </w:rPr>
      </w:pPr>
      <w:r>
        <w:rPr>
          <w:rFonts w:ascii="David" w:hAnsi="David"/>
          <w:rtl/>
        </w:rPr>
        <w:t>"...</w:t>
      </w:r>
      <w:r>
        <w:rPr>
          <w:rFonts w:ascii="David" w:hAnsi="David"/>
          <w:b/>
          <w:bCs/>
          <w:rtl/>
        </w:rPr>
        <w:t xml:space="preserve">והסכומים הכל מומצא. אני רוצה להבהיר כל הפתוס, כל הטענות לא נכונות, אני מתמחה במשקים חקלאיים ואני אומר שצוואה שמתייחסים אליה לא רלוונטית למשקים, היא שייכת לבן הזוג שנותר בחיים. </w:t>
      </w:r>
    </w:p>
    <w:p w:rsidR="00BE3CF8" w:rsidRDefault="00BE3CF8" w:rsidP="00BE3CF8">
      <w:pPr>
        <w:spacing w:line="360" w:lineRule="auto"/>
        <w:ind w:left="1440"/>
        <w:jc w:val="both"/>
        <w:rPr>
          <w:rFonts w:ascii="David" w:hAnsi="David"/>
          <w:b/>
          <w:bCs/>
          <w:rtl/>
        </w:rPr>
      </w:pPr>
    </w:p>
    <w:p w:rsidR="00BE3CF8" w:rsidRDefault="00BE3CF8" w:rsidP="00BE3CF8">
      <w:pPr>
        <w:spacing w:line="360" w:lineRule="auto"/>
        <w:ind w:left="720" w:firstLine="720"/>
        <w:jc w:val="both"/>
        <w:rPr>
          <w:rFonts w:ascii="David" w:hAnsi="David"/>
          <w:b/>
          <w:bCs/>
          <w:rtl/>
        </w:rPr>
      </w:pPr>
      <w:r>
        <w:rPr>
          <w:rFonts w:ascii="David" w:hAnsi="David"/>
          <w:b/>
          <w:bCs/>
          <w:rtl/>
        </w:rPr>
        <w:t xml:space="preserve">לשאלת ביהמ"ש, אנו מתרכזים באירוע אחד במסמך אחד, לא בנרחבים. </w:t>
      </w:r>
    </w:p>
    <w:p w:rsidR="00BE3CF8" w:rsidRDefault="00BE3CF8" w:rsidP="00BE3CF8">
      <w:pPr>
        <w:spacing w:line="360" w:lineRule="auto"/>
        <w:ind w:left="720" w:firstLine="720"/>
        <w:jc w:val="both"/>
        <w:rPr>
          <w:rFonts w:ascii="David" w:hAnsi="David"/>
          <w:b/>
          <w:bCs/>
          <w:rtl/>
        </w:rPr>
      </w:pPr>
    </w:p>
    <w:p w:rsidR="00BE3CF8" w:rsidRDefault="00BE3CF8" w:rsidP="00BE3CF8">
      <w:pPr>
        <w:spacing w:line="360" w:lineRule="auto"/>
        <w:ind w:left="1440"/>
        <w:jc w:val="both"/>
        <w:rPr>
          <w:rFonts w:ascii="David" w:hAnsi="David"/>
          <w:b/>
          <w:bCs/>
          <w:rtl/>
        </w:rPr>
      </w:pPr>
      <w:r>
        <w:rPr>
          <w:rFonts w:ascii="David" w:hAnsi="David"/>
          <w:b/>
          <w:bCs/>
          <w:rtl/>
        </w:rPr>
        <w:t xml:space="preserve">הצוואה של בן הזוג הראשון לא רלוונטית לעניין המשק, כתוב בחוזה המשבצת, כלל אחד מבני הזוג רשאי להורות בצוואה למי הזכויות במשק, ואולם סעיף 19ג'  לא יהיה בהוראות צוואה כאמור לפגוע את זכויותיו של בן הזוג הנותר בחיים, מי שנותר בחיים זו האם. </w:t>
      </w:r>
    </w:p>
    <w:p w:rsidR="00BE3CF8" w:rsidRDefault="00BE3CF8" w:rsidP="00BE3CF8">
      <w:pPr>
        <w:spacing w:line="360" w:lineRule="auto"/>
        <w:ind w:left="1440"/>
        <w:jc w:val="both"/>
        <w:rPr>
          <w:rFonts w:ascii="David" w:hAnsi="David"/>
          <w:b/>
          <w:bCs/>
          <w:rtl/>
        </w:rPr>
      </w:pPr>
    </w:p>
    <w:p w:rsidR="00BE3CF8" w:rsidRDefault="00BE3CF8" w:rsidP="00BE3CF8">
      <w:pPr>
        <w:spacing w:line="360" w:lineRule="auto"/>
        <w:ind w:left="720" w:firstLine="720"/>
        <w:jc w:val="both"/>
        <w:rPr>
          <w:rFonts w:ascii="David" w:hAnsi="David"/>
          <w:rtl/>
        </w:rPr>
      </w:pPr>
      <w:r>
        <w:rPr>
          <w:rFonts w:ascii="David" w:hAnsi="David"/>
          <w:b/>
          <w:bCs/>
          <w:rtl/>
        </w:rPr>
        <w:t>הצוואה של בן הזוג לא רלוונטית לעניין המשק</w:t>
      </w:r>
      <w:r>
        <w:rPr>
          <w:rFonts w:ascii="David" w:hAnsi="David"/>
          <w:rtl/>
        </w:rPr>
        <w:t>"</w:t>
      </w:r>
      <w:r>
        <w:rPr>
          <w:rFonts w:ascii="David" w:hAnsi="David" w:hint="cs"/>
          <w:rtl/>
        </w:rPr>
        <w:t>.</w:t>
      </w:r>
    </w:p>
    <w:p w:rsidR="00BE3CF8" w:rsidRDefault="00BE3CF8" w:rsidP="00BE3CF8">
      <w:pPr>
        <w:spacing w:line="360" w:lineRule="auto"/>
        <w:ind w:left="720" w:firstLine="720"/>
        <w:jc w:val="both"/>
        <w:rPr>
          <w:rFonts w:ascii="David" w:hAnsi="David"/>
          <w:rtl/>
        </w:rPr>
      </w:pPr>
    </w:p>
    <w:p w:rsidR="00BE3CF8" w:rsidRDefault="00BE3CF8" w:rsidP="00BE3CF8">
      <w:pPr>
        <w:spacing w:line="360" w:lineRule="auto"/>
        <w:ind w:left="1440"/>
        <w:jc w:val="both"/>
        <w:rPr>
          <w:rFonts w:ascii="David" w:hAnsi="David"/>
          <w:rtl/>
        </w:rPr>
      </w:pPr>
      <w:r>
        <w:rPr>
          <w:rFonts w:ascii="David" w:hAnsi="David"/>
          <w:rtl/>
        </w:rPr>
        <w:t>וכן "...</w:t>
      </w:r>
      <w:r>
        <w:rPr>
          <w:rFonts w:ascii="David" w:hAnsi="David"/>
          <w:b/>
          <w:bCs/>
          <w:rtl/>
        </w:rPr>
        <w:t>לא הגשנו תביעה מכוח הצוואה אבל בוודאי שיש משקל ראייתי יעידו עורכי הדין שהחתימו</w:t>
      </w:r>
      <w:r>
        <w:rPr>
          <w:rFonts w:ascii="David" w:hAnsi="David"/>
          <w:rtl/>
        </w:rPr>
        <w:t>..."</w:t>
      </w:r>
      <w:r>
        <w:rPr>
          <w:rFonts w:ascii="David" w:hAnsi="David" w:hint="cs"/>
          <w:rtl/>
        </w:rPr>
        <w:t>.</w:t>
      </w:r>
    </w:p>
    <w:p w:rsidR="00BE3CF8" w:rsidRDefault="00BE3CF8" w:rsidP="00BE3CF8">
      <w:pPr>
        <w:spacing w:line="360" w:lineRule="auto"/>
        <w:ind w:left="1440"/>
        <w:jc w:val="both"/>
        <w:rPr>
          <w:rFonts w:ascii="David" w:hAnsi="David"/>
          <w:rtl/>
        </w:rPr>
      </w:pPr>
    </w:p>
    <w:p w:rsidR="00BE3CF8" w:rsidRDefault="00BE3CF8" w:rsidP="00BE3CF8">
      <w:pPr>
        <w:spacing w:line="360" w:lineRule="auto"/>
        <w:ind w:left="1440" w:hanging="720"/>
        <w:jc w:val="both"/>
        <w:rPr>
          <w:rFonts w:ascii="David" w:hAnsi="David"/>
          <w:rtl/>
        </w:rPr>
      </w:pPr>
      <w:r>
        <w:rPr>
          <w:rFonts w:ascii="David" w:hAnsi="David"/>
          <w:rtl/>
        </w:rPr>
        <w:t>ב.</w:t>
      </w:r>
      <w:r>
        <w:rPr>
          <w:rFonts w:ascii="David" w:hAnsi="David"/>
          <w:rtl/>
        </w:rPr>
        <w:tab/>
      </w:r>
      <w:r>
        <w:rPr>
          <w:rFonts w:ascii="David" w:hAnsi="David"/>
          <w:u w:val="single"/>
          <w:rtl/>
        </w:rPr>
        <w:t>המשיב הודה שזכויות המנוח בנחלה אינו חלק מעיזבונו ושהצוואה לא רלוונטית לזכויות המנוח במשק</w:t>
      </w:r>
      <w:r>
        <w:rPr>
          <w:rFonts w:ascii="David" w:hAnsi="David"/>
          <w:rtl/>
        </w:rPr>
        <w:t xml:space="preserve">:  </w:t>
      </w:r>
    </w:p>
    <w:p w:rsidR="00BE3CF8" w:rsidRDefault="00BE3CF8" w:rsidP="00BE3CF8">
      <w:pPr>
        <w:spacing w:line="360" w:lineRule="auto"/>
        <w:ind w:left="1440" w:hanging="720"/>
        <w:jc w:val="both"/>
        <w:rPr>
          <w:rFonts w:ascii="David" w:hAnsi="David"/>
          <w:rtl/>
        </w:rPr>
      </w:pPr>
    </w:p>
    <w:p w:rsidR="00BE3CF8" w:rsidRDefault="00BE3CF8" w:rsidP="00BE3CF8">
      <w:pPr>
        <w:spacing w:line="360" w:lineRule="auto"/>
        <w:ind w:left="1440"/>
        <w:jc w:val="both"/>
        <w:rPr>
          <w:rFonts w:ascii="David" w:hAnsi="David"/>
          <w:rtl/>
        </w:rPr>
      </w:pPr>
      <w:r>
        <w:rPr>
          <w:rFonts w:ascii="David" w:hAnsi="David"/>
          <w:rtl/>
        </w:rPr>
        <w:t>ב"כ המבקשים הפנה לכתב בי דין מטעם המשיב מיום 9.2.2023 ("הבהרת התובע") בו הצהיר המשיב כי זכויות אביו המנוח במשק אינן חלק מהעיזבון: "</w:t>
      </w:r>
      <w:r>
        <w:rPr>
          <w:rFonts w:ascii="David" w:hAnsi="David"/>
          <w:b/>
          <w:bCs/>
          <w:rtl/>
        </w:rPr>
        <w:t xml:space="preserve">בהתאם להוראות ס' 114 לחוק הירושה...ולהסכם המשבצת, </w:t>
      </w:r>
      <w:r>
        <w:rPr>
          <w:rFonts w:ascii="David" w:hAnsi="David"/>
          <w:b/>
          <w:bCs/>
          <w:u w:val="single"/>
          <w:rtl/>
        </w:rPr>
        <w:t>זכויות המנוח בנחלה אינן חלק מעיזבונו</w:t>
      </w:r>
      <w:r>
        <w:rPr>
          <w:rFonts w:ascii="David" w:hAnsi="David"/>
          <w:b/>
          <w:bCs/>
          <w:rtl/>
        </w:rPr>
        <w:t xml:space="preserve">, ומכאן </w:t>
      </w:r>
      <w:r>
        <w:rPr>
          <w:rFonts w:ascii="David" w:hAnsi="David"/>
          <w:b/>
          <w:bCs/>
          <w:u w:val="single"/>
          <w:rtl/>
        </w:rPr>
        <w:t>שצוואת המנוח</w:t>
      </w:r>
      <w:r>
        <w:rPr>
          <w:rFonts w:ascii="David" w:hAnsi="David"/>
          <w:b/>
          <w:bCs/>
          <w:rtl/>
        </w:rPr>
        <w:t xml:space="preserve">, בין אם תבוטל ובין אם לאו, </w:t>
      </w:r>
      <w:r>
        <w:rPr>
          <w:rFonts w:ascii="David" w:hAnsi="David"/>
          <w:b/>
          <w:bCs/>
          <w:u w:val="single"/>
          <w:rtl/>
        </w:rPr>
        <w:t>אינה רלוונטית לזכויות המנוח במשק</w:t>
      </w:r>
      <w:r>
        <w:rPr>
          <w:rFonts w:ascii="David" w:hAnsi="David"/>
          <w:rtl/>
        </w:rPr>
        <w:t>..." (הדגש בקו תחתי במקור).</w:t>
      </w:r>
    </w:p>
    <w:p w:rsidR="00BE3CF8" w:rsidRDefault="00BE3CF8" w:rsidP="00BE3CF8">
      <w:pPr>
        <w:spacing w:line="360" w:lineRule="auto"/>
        <w:ind w:left="1440"/>
        <w:jc w:val="both"/>
        <w:rPr>
          <w:rFonts w:ascii="David" w:hAnsi="David"/>
          <w:rtl/>
        </w:rPr>
      </w:pPr>
    </w:p>
    <w:p w:rsidR="00BE3CF8" w:rsidRDefault="00BE3CF8" w:rsidP="00BE3CF8">
      <w:pPr>
        <w:spacing w:line="360" w:lineRule="auto"/>
        <w:ind w:left="1440"/>
        <w:jc w:val="both"/>
        <w:rPr>
          <w:rFonts w:ascii="David" w:hAnsi="David"/>
          <w:rtl/>
        </w:rPr>
      </w:pPr>
      <w:r>
        <w:rPr>
          <w:rFonts w:ascii="David" w:hAnsi="David"/>
          <w:rtl/>
        </w:rPr>
        <w:t>עוד ציטט את הדברים הבאים:  "</w:t>
      </w:r>
      <w:r>
        <w:rPr>
          <w:rFonts w:ascii="David" w:hAnsi="David"/>
          <w:rtl/>
        </w:rPr>
        <w:tab/>
      </w:r>
      <w:r>
        <w:rPr>
          <w:rFonts w:ascii="David" w:hAnsi="David"/>
          <w:b/>
          <w:bCs/>
          <w:rtl/>
        </w:rPr>
        <w:t>6.כמו כן בהתאם להוראות ס' 114 לחוק הירושה תשכ"ה-1965, ולהסכם המשבצת, זכויות המנוח בנחלה אינן חלק מעיזבונו, ומכאן שצוואת המנוח, בין אם תבוטל ובין אם לאו, אינה רלבנטית לזכויות המנוח במשק, אשר הוענקו לתובע כאמור בתצהירים, ולהעברה לתובע עוד בחיי המנוח</w:t>
      </w:r>
      <w:r>
        <w:rPr>
          <w:rFonts w:ascii="David" w:hAnsi="David"/>
          <w:rtl/>
        </w:rPr>
        <w:t>"</w:t>
      </w:r>
      <w:r>
        <w:rPr>
          <w:rFonts w:ascii="David" w:hAnsi="David" w:hint="cs"/>
          <w:rtl/>
        </w:rPr>
        <w:t>.</w:t>
      </w:r>
    </w:p>
    <w:p w:rsidR="00BE3CF8" w:rsidRDefault="00BE3CF8" w:rsidP="00BE3CF8">
      <w:pPr>
        <w:spacing w:line="360" w:lineRule="auto"/>
        <w:ind w:left="1440"/>
        <w:jc w:val="both"/>
        <w:rPr>
          <w:rFonts w:ascii="David" w:hAnsi="David"/>
          <w:rtl/>
        </w:rPr>
      </w:pPr>
      <w:r>
        <w:rPr>
          <w:rFonts w:ascii="David" w:hAnsi="David"/>
          <w:rtl/>
        </w:rPr>
        <w:t xml:space="preserve"> </w:t>
      </w:r>
    </w:p>
    <w:p w:rsidR="00BE3CF8" w:rsidRDefault="00BE3CF8" w:rsidP="00BE3CF8">
      <w:pPr>
        <w:spacing w:line="360" w:lineRule="auto"/>
        <w:ind w:left="1440"/>
        <w:jc w:val="both"/>
        <w:rPr>
          <w:rFonts w:ascii="David" w:hAnsi="David"/>
          <w:rtl/>
        </w:rPr>
      </w:pPr>
      <w:r>
        <w:rPr>
          <w:rFonts w:ascii="David" w:hAnsi="David"/>
          <w:rtl/>
        </w:rPr>
        <w:t>משכך משעה שהסעיפים  בצוואה הנוגעים למשק הינם חסרי  תוקף יש לקבוע כי דינם בטלות גם מכוח סעיף 34 לחוק הירושה.</w:t>
      </w:r>
    </w:p>
    <w:p w:rsidR="00BE3CF8" w:rsidRDefault="00BE3CF8" w:rsidP="00BE3CF8">
      <w:pPr>
        <w:spacing w:line="360" w:lineRule="auto"/>
        <w:ind w:left="1440"/>
        <w:jc w:val="both"/>
        <w:rPr>
          <w:rFonts w:ascii="David" w:hAnsi="David"/>
          <w:rtl/>
        </w:rPr>
      </w:pPr>
    </w:p>
    <w:p w:rsidR="00BE3CF8" w:rsidRDefault="00BE3CF8" w:rsidP="00BE3CF8">
      <w:pPr>
        <w:spacing w:line="360" w:lineRule="auto"/>
        <w:ind w:left="720"/>
        <w:jc w:val="both"/>
        <w:rPr>
          <w:rFonts w:ascii="David" w:hAnsi="David"/>
          <w:rtl/>
        </w:rPr>
      </w:pPr>
      <w:r>
        <w:rPr>
          <w:rFonts w:ascii="David" w:hAnsi="David"/>
          <w:rtl/>
        </w:rPr>
        <w:t>"</w:t>
      </w:r>
      <w:r>
        <w:rPr>
          <w:rFonts w:ascii="David" w:hAnsi="David"/>
          <w:b/>
          <w:bCs/>
          <w:rtl/>
        </w:rPr>
        <w:t>לפיכך כאשר שני הצדדים מודים ומסכימים כי כל רכיבי הצוואה ביחס למשק אינם חלק מעיזבון המנוח ואינם נוגעים לצוואה, מתבקש בית המשפט ליתן פסק דין חלקי בעניין</w:t>
      </w:r>
      <w:r>
        <w:rPr>
          <w:rFonts w:ascii="David" w:hAnsi="David"/>
          <w:rtl/>
        </w:rPr>
        <w:t>"</w:t>
      </w:r>
      <w:r>
        <w:rPr>
          <w:rFonts w:ascii="David" w:hAnsi="David" w:hint="cs"/>
          <w:rtl/>
        </w:rPr>
        <w:t>.</w:t>
      </w:r>
    </w:p>
    <w:p w:rsidR="00BE3CF8" w:rsidRDefault="00BE3CF8" w:rsidP="00BE3CF8">
      <w:pPr>
        <w:spacing w:line="360" w:lineRule="auto"/>
        <w:ind w:left="720"/>
        <w:jc w:val="both"/>
        <w:rPr>
          <w:rFonts w:ascii="David" w:hAnsi="David"/>
          <w:rtl/>
        </w:rPr>
      </w:pPr>
    </w:p>
    <w:p w:rsidR="00BE3CF8" w:rsidRDefault="00BE3CF8" w:rsidP="00BE3CF8">
      <w:pPr>
        <w:spacing w:line="360" w:lineRule="auto"/>
        <w:ind w:left="720"/>
        <w:jc w:val="both"/>
        <w:rPr>
          <w:rFonts w:ascii="David" w:hAnsi="David"/>
          <w:rtl/>
        </w:rPr>
      </w:pPr>
      <w:r>
        <w:rPr>
          <w:rFonts w:ascii="David" w:hAnsi="David"/>
          <w:rtl/>
        </w:rPr>
        <w:t>ב"כ המבקשים טען שהדחיפות בבקשה נובעת ממועד דיון ההוכחות הקרוב הקבוע לצדדים.</w:t>
      </w:r>
    </w:p>
    <w:p w:rsidR="00BE3CF8" w:rsidRDefault="00BE3CF8" w:rsidP="00BE3CF8">
      <w:pPr>
        <w:spacing w:line="360" w:lineRule="auto"/>
        <w:ind w:left="720"/>
        <w:jc w:val="both"/>
        <w:rPr>
          <w:rFonts w:ascii="David" w:hAnsi="David"/>
          <w:rtl/>
        </w:rPr>
      </w:pPr>
    </w:p>
    <w:p w:rsidR="00BE3CF8" w:rsidRDefault="00BE3CF8" w:rsidP="00BE3CF8">
      <w:pPr>
        <w:spacing w:line="360" w:lineRule="auto"/>
        <w:ind w:left="720" w:hanging="720"/>
        <w:jc w:val="both"/>
        <w:rPr>
          <w:rFonts w:ascii="David" w:hAnsi="David"/>
          <w:b/>
          <w:bCs/>
          <w:rtl/>
        </w:rPr>
      </w:pPr>
      <w:r>
        <w:rPr>
          <w:rFonts w:ascii="David" w:hAnsi="David"/>
          <w:b/>
          <w:bCs/>
          <w:u w:val="single"/>
          <w:rtl/>
        </w:rPr>
        <w:t>תגובת המשיב</w:t>
      </w:r>
      <w:r>
        <w:rPr>
          <w:rFonts w:ascii="David" w:hAnsi="David"/>
          <w:b/>
          <w:bCs/>
          <w:rtl/>
        </w:rPr>
        <w:t>:</w:t>
      </w:r>
    </w:p>
    <w:p w:rsidR="00BE3CF8" w:rsidRDefault="00BE3CF8" w:rsidP="00BE3CF8">
      <w:pPr>
        <w:spacing w:line="360" w:lineRule="auto"/>
        <w:ind w:left="720" w:hanging="720"/>
        <w:jc w:val="both"/>
        <w:rPr>
          <w:rFonts w:ascii="David" w:hAnsi="David"/>
          <w:b/>
          <w:bCs/>
          <w:rtl/>
        </w:rPr>
      </w:pPr>
    </w:p>
    <w:p w:rsidR="00BE3CF8" w:rsidRDefault="00BE3CF8" w:rsidP="00BE3CF8">
      <w:pPr>
        <w:spacing w:line="360" w:lineRule="auto"/>
        <w:ind w:left="720" w:hanging="720"/>
        <w:jc w:val="both"/>
        <w:rPr>
          <w:rFonts w:ascii="David" w:hAnsi="David"/>
          <w:rtl/>
        </w:rPr>
      </w:pPr>
      <w:r>
        <w:rPr>
          <w:rFonts w:ascii="David" w:hAnsi="David"/>
          <w:rtl/>
        </w:rPr>
        <w:t>6.</w:t>
      </w:r>
      <w:r>
        <w:rPr>
          <w:rFonts w:ascii="David" w:hAnsi="David"/>
          <w:rtl/>
        </w:rPr>
        <w:tab/>
        <w:t xml:space="preserve">התביעה היא לביטול צו קיום צוואה ולא התבקש כל סעד הצהרתי בעניין המשק או הנחלה ולכן מדובר בהרחבת חזית אסורה. </w:t>
      </w:r>
    </w:p>
    <w:p w:rsidR="00BE3CF8" w:rsidRDefault="00BE3CF8" w:rsidP="00BE3CF8">
      <w:pPr>
        <w:spacing w:line="360" w:lineRule="auto"/>
        <w:ind w:left="720" w:hanging="720"/>
        <w:jc w:val="both"/>
        <w:rPr>
          <w:rFonts w:ascii="David" w:hAnsi="David"/>
          <w:rtl/>
        </w:rPr>
      </w:pPr>
    </w:p>
    <w:p w:rsidR="00BE3CF8" w:rsidRDefault="00BE3CF8" w:rsidP="00BE3CF8">
      <w:pPr>
        <w:spacing w:line="360" w:lineRule="auto"/>
        <w:ind w:left="720"/>
        <w:jc w:val="both"/>
        <w:rPr>
          <w:rFonts w:ascii="David" w:hAnsi="David"/>
          <w:rtl/>
        </w:rPr>
      </w:pPr>
      <w:r>
        <w:rPr>
          <w:rFonts w:ascii="David" w:hAnsi="David"/>
          <w:rtl/>
        </w:rPr>
        <w:t xml:space="preserve">כך, בית המשפט מנוע מלתת סעד שלא התבקש בתביעה מקל וחומר שאינו עולה מהתביעה. </w:t>
      </w:r>
    </w:p>
    <w:p w:rsidR="00BE3CF8" w:rsidRDefault="00BE3CF8" w:rsidP="00BE3CF8">
      <w:pPr>
        <w:spacing w:line="360" w:lineRule="auto"/>
        <w:ind w:left="720"/>
        <w:jc w:val="both"/>
        <w:rPr>
          <w:rFonts w:ascii="David" w:hAnsi="David"/>
          <w:rtl/>
        </w:rPr>
      </w:pPr>
      <w:r>
        <w:rPr>
          <w:rFonts w:ascii="David" w:hAnsi="David"/>
          <w:rtl/>
        </w:rPr>
        <w:t xml:space="preserve">הטענה שאין מחלוקת בין הצדדים. נהפוך הוא. המשיב הדגיש שלא מדובר בהתנגדות לצו קיום צוואה אלא לבקשה לביטול צו קיום צוואה שניתן. </w:t>
      </w:r>
    </w:p>
    <w:p w:rsidR="00BE3CF8" w:rsidRDefault="00BE3CF8" w:rsidP="00BE3CF8">
      <w:pPr>
        <w:spacing w:line="360" w:lineRule="auto"/>
        <w:ind w:left="720"/>
        <w:jc w:val="both"/>
        <w:rPr>
          <w:rFonts w:ascii="David" w:hAnsi="David"/>
          <w:rtl/>
        </w:rPr>
      </w:pPr>
    </w:p>
    <w:p w:rsidR="00BE3CF8" w:rsidRDefault="00BE3CF8" w:rsidP="00BE3CF8">
      <w:pPr>
        <w:spacing w:line="360" w:lineRule="auto"/>
        <w:ind w:left="720"/>
        <w:jc w:val="both"/>
        <w:rPr>
          <w:rFonts w:ascii="David" w:hAnsi="David"/>
          <w:rtl/>
        </w:rPr>
      </w:pPr>
      <w:r>
        <w:rPr>
          <w:rFonts w:ascii="David" w:hAnsi="David"/>
          <w:rtl/>
        </w:rPr>
        <w:t>בבקשתם זו מודים למעשה המבקשים שחזרו בהם מתביעתם לביטול צו קיום הצוואה "...</w:t>
      </w:r>
      <w:r>
        <w:rPr>
          <w:rFonts w:ascii="David" w:hAnsi="David"/>
          <w:b/>
          <w:bCs/>
          <w:rtl/>
        </w:rPr>
        <w:t>וכעת הם מבקשים לקיימה כלשונה תוך מתן הבהרה נפרדת ונוספת רק ביחס למשק</w:t>
      </w:r>
      <w:r>
        <w:rPr>
          <w:rFonts w:ascii="David" w:hAnsi="David"/>
          <w:rtl/>
        </w:rPr>
        <w:t>" על כן מתבקש בית המשפט לתת החלטה בבקשתו של המשיב לדחיית התביעה  על הסף.</w:t>
      </w:r>
    </w:p>
    <w:p w:rsidR="00BE3CF8" w:rsidRDefault="00BE3CF8" w:rsidP="00BE3CF8">
      <w:pPr>
        <w:spacing w:line="360" w:lineRule="auto"/>
        <w:ind w:left="720"/>
        <w:jc w:val="both"/>
        <w:rPr>
          <w:rFonts w:ascii="David" w:hAnsi="David"/>
          <w:rtl/>
        </w:rPr>
      </w:pPr>
    </w:p>
    <w:p w:rsidR="00BE3CF8" w:rsidRDefault="00BE3CF8" w:rsidP="00BE3CF8">
      <w:pPr>
        <w:spacing w:line="360" w:lineRule="auto"/>
        <w:ind w:left="720"/>
        <w:jc w:val="both"/>
        <w:rPr>
          <w:rFonts w:ascii="David" w:hAnsi="David"/>
          <w:rtl/>
        </w:rPr>
      </w:pPr>
      <w:r>
        <w:rPr>
          <w:rFonts w:ascii="David" w:hAnsi="David"/>
          <w:rtl/>
        </w:rPr>
        <w:lastRenderedPageBreak/>
        <w:t>טענות ב"כ המשיב "...</w:t>
      </w:r>
      <w:r>
        <w:rPr>
          <w:rFonts w:ascii="David" w:hAnsi="David"/>
          <w:b/>
          <w:bCs/>
          <w:rtl/>
        </w:rPr>
        <w:t>אינן מהוות עדות ולא ניתן להיבנות מהן</w:t>
      </w:r>
      <w:r>
        <w:rPr>
          <w:rFonts w:ascii="David" w:hAnsi="David"/>
          <w:rtl/>
        </w:rPr>
        <w:t>".</w:t>
      </w:r>
    </w:p>
    <w:p w:rsidR="00BE3CF8" w:rsidRDefault="00BE3CF8" w:rsidP="00BE3CF8">
      <w:pPr>
        <w:spacing w:line="360" w:lineRule="auto"/>
        <w:ind w:left="720"/>
        <w:jc w:val="both"/>
        <w:rPr>
          <w:rFonts w:ascii="David" w:hAnsi="David"/>
          <w:rtl/>
        </w:rPr>
      </w:pPr>
      <w:r>
        <w:rPr>
          <w:rFonts w:ascii="David" w:hAnsi="David"/>
          <w:rtl/>
        </w:rPr>
        <w:t>המשיב טען והרחיב שבסיס טענתו שזמן רב טרם עריכת "הצוואה ההדדית" העבירו ההורים עוד בחייהם את כל הזכויות במשק "...</w:t>
      </w:r>
      <w:r>
        <w:rPr>
          <w:rFonts w:ascii="David" w:hAnsi="David"/>
          <w:b/>
          <w:bCs/>
          <w:rtl/>
        </w:rPr>
        <w:t>ברם, המבקשים עדיין מסכלים את האפשרות לרשום את הזכויות על שמו, עקב בניית מבנים חורגים ועשיית שימוש חורג שלא כדין, תוך סירובם להסיר את מחדליהם</w:t>
      </w:r>
      <w:r>
        <w:rPr>
          <w:rFonts w:ascii="David" w:hAnsi="David"/>
          <w:rtl/>
        </w:rPr>
        <w:t>...</w:t>
      </w:r>
      <w:r>
        <w:rPr>
          <w:rFonts w:ascii="David" w:hAnsi="David"/>
          <w:b/>
          <w:bCs/>
          <w:rtl/>
        </w:rPr>
        <w:t>לולא היו המבקשים עצמם מסכלים את האפשרות לרישום הזכויות...אזי היום, כבר היו רשומות על שמו</w:t>
      </w:r>
      <w:r>
        <w:rPr>
          <w:rFonts w:ascii="David" w:hAnsi="David"/>
          <w:rtl/>
        </w:rPr>
        <w:t>"</w:t>
      </w:r>
      <w:r>
        <w:rPr>
          <w:rFonts w:ascii="David" w:hAnsi="David" w:hint="cs"/>
          <w:rtl/>
        </w:rPr>
        <w:t>.</w:t>
      </w:r>
    </w:p>
    <w:p w:rsidR="00BE3CF8" w:rsidRDefault="00BE3CF8" w:rsidP="00BE3CF8">
      <w:pPr>
        <w:spacing w:line="360" w:lineRule="auto"/>
        <w:ind w:left="720"/>
        <w:jc w:val="both"/>
        <w:rPr>
          <w:rFonts w:ascii="David" w:hAnsi="David"/>
          <w:rtl/>
        </w:rPr>
      </w:pPr>
    </w:p>
    <w:p w:rsidR="00BE3CF8" w:rsidRDefault="00BE3CF8" w:rsidP="00BE3CF8">
      <w:pPr>
        <w:spacing w:line="360" w:lineRule="auto"/>
        <w:ind w:left="720"/>
        <w:jc w:val="both"/>
        <w:rPr>
          <w:rFonts w:ascii="David" w:hAnsi="David"/>
          <w:rtl/>
        </w:rPr>
      </w:pPr>
      <w:r>
        <w:rPr>
          <w:rFonts w:ascii="David" w:hAnsi="David"/>
          <w:rtl/>
        </w:rPr>
        <w:t xml:space="preserve">אין רלוונטיות לציטוטים מתיקים  קשורים בהם התובענה לקבל סעד מכוח תצהירי העברת זכויות ולא מכוח צוואה ולכן אינן רלוונטיות להליך זה שעניינו בקשה לביטול צו  קיום הצוואה. </w:t>
      </w:r>
    </w:p>
    <w:p w:rsidR="00BE3CF8" w:rsidRDefault="00BE3CF8" w:rsidP="00BE3CF8">
      <w:pPr>
        <w:spacing w:line="360" w:lineRule="auto"/>
        <w:ind w:left="720"/>
        <w:jc w:val="both"/>
        <w:rPr>
          <w:rFonts w:ascii="David" w:hAnsi="David"/>
          <w:rtl/>
        </w:rPr>
      </w:pPr>
    </w:p>
    <w:p w:rsidR="00BE3CF8" w:rsidRDefault="00BE3CF8" w:rsidP="00BE3CF8">
      <w:pPr>
        <w:spacing w:line="360" w:lineRule="auto"/>
        <w:ind w:left="720"/>
        <w:jc w:val="both"/>
        <w:rPr>
          <w:rFonts w:ascii="David" w:hAnsi="David"/>
          <w:rtl/>
        </w:rPr>
      </w:pPr>
      <w:r>
        <w:rPr>
          <w:rFonts w:ascii="David" w:hAnsi="David"/>
          <w:rtl/>
        </w:rPr>
        <w:t>סעיף 34 אינו רלוונטי להליך זה שכן אין בצוואה ההדדית הוראה שביצועה בלתי חוקי, בלתי מוסרי או בלתי אפשרי. בוודאי נכונים הדברים ביחס לצוואת המבקשת 1 "...</w:t>
      </w:r>
      <w:r>
        <w:rPr>
          <w:rFonts w:ascii="David" w:hAnsi="David"/>
          <w:b/>
          <w:bCs/>
          <w:rtl/>
        </w:rPr>
        <w:t>שהיא הלכה ולמעשה אותה צוואה עצמה ביחד עם המנוח היות והינה צוואה הדדית שנערכה במסמך אחד ויחיד !!!. אין חולק שגם אם תתקבל הטענה שזכויות המנוח בנחלה עברו למבקשת 1 כך שרק היא לכאורה כיום בעלת הזכויות היחידה במשק הרי שאז יש גם יש רלוונטיות להוראות הצוואה למצער ביחס לזכויותיה שלה לרבות הזכויות שעברו אליה מהמנוח!! ודי בכך לקבוע שהסעיפים בצוואה העוסקים בזכויות במשק הינם חוקיים ורלוונטיים ודינם אינו "בטלות" וגם אין מקום לבטלם על ידי מאן דהוא לרבות בית המשפט</w:t>
      </w:r>
      <w:r>
        <w:rPr>
          <w:rFonts w:ascii="David" w:hAnsi="David"/>
          <w:rtl/>
        </w:rPr>
        <w:t>...</w:t>
      </w:r>
      <w:r>
        <w:rPr>
          <w:rFonts w:ascii="David" w:hAnsi="David"/>
          <w:b/>
          <w:bCs/>
          <w:rtl/>
        </w:rPr>
        <w:t>המבקשים למעשה טוענים כי עקרונית ומשפטית לא ניתן להוריש זכויות בנחלה באמצעות צוואה היות ואוטומטית עוברות הזכויות לבן הזוג הנותר בחיים. אך לא מבססים זאת בתימוכין כלשהו</w:t>
      </w:r>
      <w:r>
        <w:rPr>
          <w:rFonts w:ascii="David" w:hAnsi="David"/>
          <w:rtl/>
        </w:rPr>
        <w:t>"</w:t>
      </w:r>
      <w:r>
        <w:rPr>
          <w:rFonts w:ascii="David" w:hAnsi="David" w:hint="cs"/>
          <w:rtl/>
        </w:rPr>
        <w:t>.</w:t>
      </w:r>
    </w:p>
    <w:p w:rsidR="00BE3CF8" w:rsidRDefault="00BE3CF8" w:rsidP="00BE3CF8">
      <w:pPr>
        <w:spacing w:line="360" w:lineRule="auto"/>
        <w:ind w:left="720"/>
        <w:jc w:val="both"/>
        <w:rPr>
          <w:rFonts w:ascii="David" w:hAnsi="David"/>
          <w:rtl/>
        </w:rPr>
      </w:pPr>
      <w:r>
        <w:rPr>
          <w:rFonts w:ascii="David" w:hAnsi="David"/>
          <w:rtl/>
        </w:rPr>
        <w:t xml:space="preserve"> </w:t>
      </w:r>
    </w:p>
    <w:p w:rsidR="00BE3CF8" w:rsidRDefault="00BE3CF8" w:rsidP="00BE3CF8">
      <w:pPr>
        <w:spacing w:line="360" w:lineRule="auto"/>
        <w:ind w:left="720"/>
        <w:jc w:val="both"/>
        <w:rPr>
          <w:rFonts w:ascii="David" w:hAnsi="David"/>
          <w:rtl/>
        </w:rPr>
      </w:pPr>
      <w:r>
        <w:rPr>
          <w:rFonts w:ascii="David" w:hAnsi="David"/>
          <w:rtl/>
        </w:rPr>
        <w:t>הבקשה הוגשה גם בשם המבקשת 1 ולא ברור מה הבסיס המשפטי לכך  שכן ביחס למבקשת 1 הופעל ייפוי כוח מתמשך. עוד נטען שהבקשה הוגשה ללא תצהיר ולכן לא "...</w:t>
      </w:r>
      <w:r>
        <w:rPr>
          <w:rFonts w:ascii="David" w:hAnsi="David"/>
          <w:b/>
          <w:bCs/>
          <w:rtl/>
        </w:rPr>
        <w:t>המבקשים הם אלו שהגישוה וניכר כי כל הבקשה מוגשת מהרהורי ליבו של בא כוחם, אשר כלל אינו בעל דין בהליך דנא</w:t>
      </w:r>
      <w:r>
        <w:rPr>
          <w:rFonts w:ascii="David" w:hAnsi="David"/>
          <w:rtl/>
        </w:rPr>
        <w:t>".</w:t>
      </w:r>
    </w:p>
    <w:p w:rsidR="00BE3CF8" w:rsidRDefault="00BE3CF8" w:rsidP="00BE3CF8">
      <w:pPr>
        <w:spacing w:line="360" w:lineRule="auto"/>
        <w:ind w:left="-7"/>
        <w:jc w:val="both"/>
        <w:rPr>
          <w:rFonts w:ascii="David" w:hAnsi="David"/>
          <w:rtl/>
        </w:rPr>
      </w:pPr>
    </w:p>
    <w:p w:rsidR="00BE3CF8" w:rsidRDefault="00BE3CF8" w:rsidP="00BE3CF8">
      <w:pPr>
        <w:spacing w:line="360" w:lineRule="auto"/>
        <w:ind w:left="-7"/>
        <w:jc w:val="both"/>
        <w:rPr>
          <w:rFonts w:ascii="David" w:hAnsi="David"/>
          <w:rtl/>
        </w:rPr>
      </w:pPr>
    </w:p>
    <w:p w:rsidR="00BE3CF8" w:rsidRDefault="00BE3CF8" w:rsidP="00BE3CF8">
      <w:pPr>
        <w:spacing w:line="360" w:lineRule="auto"/>
        <w:ind w:left="-7"/>
        <w:jc w:val="both"/>
        <w:rPr>
          <w:rFonts w:ascii="David" w:hAnsi="David"/>
          <w:rtl/>
        </w:rPr>
      </w:pPr>
    </w:p>
    <w:p w:rsidR="00BE3CF8" w:rsidRDefault="00BE3CF8" w:rsidP="00BE3CF8">
      <w:pPr>
        <w:spacing w:line="360" w:lineRule="auto"/>
        <w:ind w:left="-7"/>
        <w:jc w:val="both"/>
        <w:rPr>
          <w:rFonts w:ascii="David" w:hAnsi="David"/>
          <w:b/>
          <w:bCs/>
          <w:rtl/>
        </w:rPr>
      </w:pPr>
      <w:r>
        <w:rPr>
          <w:rFonts w:ascii="David" w:hAnsi="David"/>
          <w:b/>
          <w:bCs/>
          <w:u w:val="single"/>
          <w:rtl/>
        </w:rPr>
        <w:t>דיון והחלטה</w:t>
      </w:r>
      <w:r>
        <w:rPr>
          <w:rFonts w:ascii="David" w:hAnsi="David"/>
          <w:b/>
          <w:bCs/>
          <w:rtl/>
        </w:rPr>
        <w:t>:</w:t>
      </w:r>
    </w:p>
    <w:p w:rsidR="00BE3CF8" w:rsidRDefault="00BE3CF8" w:rsidP="00BE3CF8">
      <w:pPr>
        <w:spacing w:line="360" w:lineRule="auto"/>
        <w:ind w:left="-7"/>
        <w:jc w:val="both"/>
        <w:rPr>
          <w:rFonts w:ascii="David" w:hAnsi="David"/>
          <w:b/>
          <w:bCs/>
          <w:rtl/>
        </w:rPr>
      </w:pPr>
    </w:p>
    <w:p w:rsidR="00BE3CF8" w:rsidRDefault="00BE3CF8" w:rsidP="00BE3CF8">
      <w:pPr>
        <w:spacing w:line="360" w:lineRule="auto"/>
        <w:ind w:left="-7"/>
        <w:jc w:val="both"/>
        <w:rPr>
          <w:rFonts w:ascii="David" w:hAnsi="David"/>
          <w:rtl/>
        </w:rPr>
      </w:pPr>
      <w:r>
        <w:rPr>
          <w:rFonts w:ascii="David" w:hAnsi="David"/>
          <w:rtl/>
        </w:rPr>
        <w:t>7.</w:t>
      </w:r>
      <w:r>
        <w:rPr>
          <w:rFonts w:ascii="David" w:hAnsi="David"/>
          <w:rtl/>
        </w:rPr>
        <w:tab/>
        <w:t>דין הבקשה להידחות. אבהיר.</w:t>
      </w:r>
    </w:p>
    <w:p w:rsidR="00BE3CF8" w:rsidRDefault="00BE3CF8" w:rsidP="00BE3CF8">
      <w:pPr>
        <w:spacing w:line="360" w:lineRule="auto"/>
        <w:ind w:left="-7"/>
        <w:jc w:val="both"/>
        <w:rPr>
          <w:rFonts w:ascii="David" w:hAnsi="David"/>
          <w:rtl/>
        </w:rPr>
      </w:pPr>
    </w:p>
    <w:p w:rsidR="00BE3CF8" w:rsidRDefault="00BE3CF8" w:rsidP="00BE3CF8">
      <w:pPr>
        <w:spacing w:line="360" w:lineRule="auto"/>
        <w:ind w:left="713" w:hanging="720"/>
        <w:jc w:val="both"/>
        <w:rPr>
          <w:rFonts w:ascii="David" w:hAnsi="David"/>
          <w:rtl/>
        </w:rPr>
      </w:pPr>
      <w:r>
        <w:rPr>
          <w:rFonts w:ascii="David" w:hAnsi="David"/>
          <w:rtl/>
        </w:rPr>
        <w:t>8.</w:t>
      </w:r>
      <w:r>
        <w:rPr>
          <w:rFonts w:ascii="David" w:hAnsi="David"/>
          <w:rtl/>
        </w:rPr>
        <w:tab/>
        <w:t xml:space="preserve">התביעה שלפני עניינה תביעה לביטול צו קיום צוואת המנוח. במסגרת כתב התביעה הגדירו התובעים את גדרה של המחלוקת. משכך, אין מקום למתן פסק דין חלקי בסוגיה שאינה חלק אינהרנטי לתביעה עצמה  כפי שהוגדרה על ידי התובעים עצמם. </w:t>
      </w:r>
    </w:p>
    <w:p w:rsidR="00BE3CF8" w:rsidRDefault="00BE3CF8" w:rsidP="00BE3CF8">
      <w:pPr>
        <w:spacing w:line="360" w:lineRule="auto"/>
        <w:ind w:left="713" w:hanging="720"/>
        <w:jc w:val="both"/>
        <w:rPr>
          <w:rFonts w:ascii="David" w:hAnsi="David"/>
          <w:rtl/>
        </w:rPr>
      </w:pPr>
      <w:r>
        <w:rPr>
          <w:rFonts w:ascii="David" w:hAnsi="David"/>
          <w:rtl/>
        </w:rPr>
        <w:lastRenderedPageBreak/>
        <w:t>9.</w:t>
      </w:r>
      <w:r>
        <w:rPr>
          <w:rFonts w:ascii="David" w:hAnsi="David"/>
          <w:rtl/>
        </w:rPr>
        <w:tab/>
        <w:t xml:space="preserve">רצונם של המבקשים לסטות מהמסגרת אותה הכתיבו בכתב התביעה ולהרחיב את גדר הסעדים המבוקשים בתביעתם אינה ראויה. </w:t>
      </w:r>
    </w:p>
    <w:p w:rsidR="00BE3CF8" w:rsidRDefault="00BE3CF8" w:rsidP="00BE3CF8">
      <w:pPr>
        <w:spacing w:line="360" w:lineRule="auto"/>
        <w:ind w:left="713" w:hanging="720"/>
        <w:jc w:val="both"/>
        <w:rPr>
          <w:rFonts w:ascii="David" w:hAnsi="David"/>
          <w:rtl/>
        </w:rPr>
      </w:pPr>
    </w:p>
    <w:p w:rsidR="00BE3CF8" w:rsidRDefault="00BE3CF8" w:rsidP="00BE3CF8">
      <w:pPr>
        <w:spacing w:line="360" w:lineRule="auto"/>
        <w:ind w:left="713"/>
        <w:jc w:val="both"/>
        <w:rPr>
          <w:rFonts w:ascii="David" w:hAnsi="David"/>
          <w:rtl/>
        </w:rPr>
      </w:pPr>
      <w:r>
        <w:rPr>
          <w:rFonts w:ascii="David" w:hAnsi="David"/>
          <w:rtl/>
        </w:rPr>
        <w:t xml:space="preserve">הדברים נכונים מקל וחומר בשל שני היבטים: </w:t>
      </w:r>
    </w:p>
    <w:p w:rsidR="00BE3CF8" w:rsidRDefault="00BE3CF8" w:rsidP="00BE3CF8">
      <w:pPr>
        <w:spacing w:line="360" w:lineRule="auto"/>
        <w:ind w:left="713"/>
        <w:jc w:val="both"/>
        <w:rPr>
          <w:rFonts w:ascii="David" w:hAnsi="David"/>
          <w:rtl/>
        </w:rPr>
      </w:pPr>
    </w:p>
    <w:p w:rsidR="00BE3CF8" w:rsidRDefault="00BE3CF8" w:rsidP="00BE3CF8">
      <w:pPr>
        <w:spacing w:line="360" w:lineRule="auto"/>
        <w:ind w:left="713"/>
        <w:jc w:val="both"/>
        <w:rPr>
          <w:rFonts w:ascii="David" w:hAnsi="David"/>
          <w:rtl/>
        </w:rPr>
      </w:pPr>
      <w:r>
        <w:rPr>
          <w:rFonts w:ascii="David" w:hAnsi="David"/>
          <w:rtl/>
        </w:rPr>
        <w:t xml:space="preserve">האחד, שאלת הבעלות על המשק, האם  של המבקשת 1  או של המשיב מכוח תצהירי ההעברה אמורה להתברר בתיקים קשורים שהדיון בהם הושהה עד להחלטה בתביעה זו. </w:t>
      </w:r>
    </w:p>
    <w:p w:rsidR="00BE3CF8" w:rsidRDefault="00BE3CF8" w:rsidP="00BE3CF8">
      <w:pPr>
        <w:spacing w:line="360" w:lineRule="auto"/>
        <w:ind w:left="713"/>
        <w:jc w:val="both"/>
        <w:rPr>
          <w:rFonts w:ascii="David" w:hAnsi="David"/>
          <w:rtl/>
        </w:rPr>
      </w:pPr>
    </w:p>
    <w:p w:rsidR="00BE3CF8" w:rsidRDefault="00BE3CF8" w:rsidP="00BE3CF8">
      <w:pPr>
        <w:spacing w:line="360" w:lineRule="auto"/>
        <w:ind w:left="713"/>
        <w:jc w:val="both"/>
        <w:rPr>
          <w:rFonts w:ascii="David" w:hAnsi="David"/>
          <w:rtl/>
        </w:rPr>
      </w:pPr>
      <w:r>
        <w:rPr>
          <w:rFonts w:ascii="David" w:hAnsi="David"/>
          <w:rtl/>
        </w:rPr>
        <w:t xml:space="preserve">השני, הגובר על הראשון וממנו נלמדת אותה הרחבת חזית בהגשת הבקשה כטענת ב"כ המשיב  מקבלת חיזוק דווקא מציטוט דברים מפי ב"כ המשיב ע"י ב"כ המבקשים כמובא לעיל.  </w:t>
      </w:r>
    </w:p>
    <w:p w:rsidR="00BE3CF8" w:rsidRDefault="00BE3CF8" w:rsidP="00BE3CF8">
      <w:pPr>
        <w:spacing w:line="360" w:lineRule="auto"/>
        <w:ind w:left="713"/>
        <w:jc w:val="both"/>
        <w:rPr>
          <w:rFonts w:ascii="David" w:hAnsi="David"/>
          <w:rtl/>
        </w:rPr>
      </w:pPr>
    </w:p>
    <w:p w:rsidR="00BE3CF8" w:rsidRDefault="00BE3CF8" w:rsidP="00BE3CF8">
      <w:pPr>
        <w:spacing w:line="360" w:lineRule="auto"/>
        <w:ind w:left="713"/>
        <w:jc w:val="both"/>
        <w:rPr>
          <w:rFonts w:ascii="David" w:hAnsi="David"/>
          <w:rtl/>
        </w:rPr>
      </w:pPr>
      <w:r>
        <w:rPr>
          <w:rFonts w:ascii="David" w:hAnsi="David"/>
          <w:rtl/>
        </w:rPr>
        <w:t>הדברים המובאים מפי ב"כ המשיב שצוטטו בבקשה והמשמשים לב"כ המבקשים עילה, לכאורה, לבקשה נאמרו בדיון שהתקיים ביום 5.7.22. אמירות אלו היו ידועות למבקשים ובוודאי מובנים לבא כוחם כבר באותו מועד שהוא כ- 6 חודשים לפני הגשת תביעתם זו. לו היה ממש בטענותיהם ולא הרחבת חזית לעת הזו כמקצה שיפורים לתביעתם היו מעלים זאת בכתב התביעה כסעד מפורש או לחלופין מגישים תובענה נפרדת בשאלה זו.</w:t>
      </w:r>
    </w:p>
    <w:p w:rsidR="00BE3CF8" w:rsidRDefault="00BE3CF8" w:rsidP="00BE3CF8">
      <w:pPr>
        <w:spacing w:line="360" w:lineRule="auto"/>
        <w:ind w:left="713"/>
        <w:jc w:val="both"/>
        <w:rPr>
          <w:rFonts w:ascii="David" w:hAnsi="David"/>
          <w:rtl/>
        </w:rPr>
      </w:pPr>
    </w:p>
    <w:p w:rsidR="00BE3CF8" w:rsidRDefault="00BE3CF8" w:rsidP="00BE3CF8">
      <w:pPr>
        <w:spacing w:line="360" w:lineRule="auto"/>
        <w:ind w:left="713" w:hanging="720"/>
        <w:jc w:val="both"/>
        <w:rPr>
          <w:rFonts w:ascii="David" w:hAnsi="David"/>
          <w:rtl/>
        </w:rPr>
      </w:pPr>
      <w:r>
        <w:rPr>
          <w:rFonts w:ascii="David" w:hAnsi="David"/>
          <w:rtl/>
        </w:rPr>
        <w:t>10.</w:t>
      </w:r>
      <w:r>
        <w:rPr>
          <w:rFonts w:ascii="David" w:hAnsi="David"/>
          <w:rtl/>
        </w:rPr>
        <w:tab/>
        <w:t xml:space="preserve">די באלו לדחות את הבקשה. אם בכך לא די לא ברור מכוח מה הוגשה בקשה זו בשם מבקשת 1, כפי שטען ב"כ המשיב.  האם בקשה זו הוגשה מכוח הפעלת ייפוי כוח מתמשך? יוער שלבית המשפט לא הוצג ייפוי הכוח ולא ברור אם הוסמך ב"כ המבקשים 2 ו 3 לפעול בשמה של המבקשת 1. קביעה זו לא בחלל ריק דומה שהגשת הבקשה בנוסחה עתה אינה מיטיבה עם המבקשת 1 בשים לב לסעדים המבוקשים בתביעה. כזכור, בהחלטה מיום 19.11.24 מונתה למבקשת 1 (בתיק קשור 16171-09-24 ) אפוטרופא לדין. האם שותפה האפוטרופא לדין בבקשה טרם הגשתה? האם  הוסמך ב"כ המבקשים 2 ו-3 להגישה על ידי האפוטרופא? מדוע לא הובאה עמדתה לבקשה? </w:t>
      </w:r>
    </w:p>
    <w:p w:rsidR="00BE3CF8" w:rsidRDefault="00BE3CF8" w:rsidP="00BE3CF8">
      <w:pPr>
        <w:spacing w:line="360" w:lineRule="auto"/>
        <w:ind w:left="713" w:hanging="720"/>
        <w:jc w:val="both"/>
        <w:rPr>
          <w:rFonts w:ascii="David" w:hAnsi="David"/>
          <w:rtl/>
        </w:rPr>
      </w:pPr>
    </w:p>
    <w:p w:rsidR="00BE3CF8" w:rsidRDefault="00BE3CF8" w:rsidP="00BE3CF8">
      <w:pPr>
        <w:spacing w:line="360" w:lineRule="auto"/>
        <w:ind w:left="713"/>
        <w:jc w:val="both"/>
        <w:rPr>
          <w:rFonts w:ascii="David" w:hAnsi="David"/>
          <w:rtl/>
        </w:rPr>
      </w:pPr>
      <w:r>
        <w:rPr>
          <w:rFonts w:ascii="David" w:hAnsi="David"/>
          <w:rtl/>
        </w:rPr>
        <w:t>בהקשר זה כך, נכונה טענת ב"כ המשיב שהבקשה לא נתמכה בתצהיר של מי מהמבקשים 2 ו-3 שלאור האמור הצורך בהגשתו מתעצם שבעתיים. לא זו בלבד שלא צורף תצהיר אין בבקשה כל אמירה ביחס לכך.</w:t>
      </w:r>
    </w:p>
    <w:p w:rsidR="00BE3CF8" w:rsidRDefault="00BE3CF8" w:rsidP="00BE3CF8">
      <w:pPr>
        <w:spacing w:line="360" w:lineRule="auto"/>
        <w:ind w:left="713"/>
        <w:jc w:val="both"/>
        <w:rPr>
          <w:rFonts w:ascii="David" w:hAnsi="David"/>
          <w:rtl/>
        </w:rPr>
      </w:pPr>
    </w:p>
    <w:p w:rsidR="00BE3CF8" w:rsidRDefault="00BE3CF8" w:rsidP="00BE3CF8">
      <w:pPr>
        <w:spacing w:line="360" w:lineRule="auto"/>
        <w:ind w:left="713" w:hanging="572"/>
        <w:jc w:val="both"/>
        <w:rPr>
          <w:rFonts w:ascii="David" w:hAnsi="David"/>
          <w:rtl/>
        </w:rPr>
      </w:pPr>
      <w:r>
        <w:rPr>
          <w:rFonts w:ascii="David" w:hAnsi="David" w:hint="cs"/>
          <w:rtl/>
        </w:rPr>
        <w:t>11.</w:t>
      </w:r>
      <w:r>
        <w:rPr>
          <w:rFonts w:ascii="David" w:hAnsi="David"/>
          <w:rtl/>
        </w:rPr>
        <w:tab/>
      </w:r>
      <w:r>
        <w:rPr>
          <w:rFonts w:ascii="David" w:hAnsi="David" w:hint="cs"/>
          <w:rtl/>
        </w:rPr>
        <w:t xml:space="preserve">בטרם נעילה מצאתי להעיר שתי הערות: האחת, ההפנייה לסעיף 34 לחוק הירושה בהקשרה של צוואה זו לא הוברר בבקשה ואיני מקבל את הפרשנות שהובאה בבקשה ואיני מקבלת את הפרשנו שלאור ההסכמה הנטענת, לכאורה, שכל סעיפי הצוואה הנוגעים למשק הינם חסרי תוקף ועל כן הצוואה נכנסת לגדרו של סעיף 34 לחוק הירושה. ראוי להדגיש שגם טענה זו  לא קיבלה ביטוי בתביעה. </w:t>
      </w:r>
    </w:p>
    <w:p w:rsidR="00BE3CF8" w:rsidRDefault="00BE3CF8" w:rsidP="00BE3CF8">
      <w:pPr>
        <w:spacing w:line="360" w:lineRule="auto"/>
        <w:ind w:left="713" w:hanging="572"/>
        <w:jc w:val="both"/>
        <w:rPr>
          <w:rFonts w:ascii="David" w:hAnsi="David"/>
          <w:rtl/>
        </w:rPr>
      </w:pPr>
    </w:p>
    <w:p w:rsidR="00BE3CF8" w:rsidRDefault="00BE3CF8" w:rsidP="00BE3CF8">
      <w:pPr>
        <w:spacing w:line="360" w:lineRule="auto"/>
        <w:ind w:left="713" w:hanging="572"/>
        <w:jc w:val="both"/>
        <w:rPr>
          <w:rFonts w:ascii="David" w:hAnsi="David"/>
          <w:rtl/>
        </w:rPr>
      </w:pPr>
      <w:r>
        <w:rPr>
          <w:rFonts w:ascii="David" w:hAnsi="David"/>
          <w:rtl/>
        </w:rPr>
        <w:lastRenderedPageBreak/>
        <w:tab/>
      </w:r>
      <w:r>
        <w:rPr>
          <w:rFonts w:ascii="David" w:hAnsi="David" w:hint="cs"/>
          <w:rtl/>
        </w:rPr>
        <w:t>השנייה, אין כל הסבר מניח את הדעת מדוע הוכתרה הבקשה כבקשה דחופה בשים לב לפרק הזמן של  כ- חצי שנה מאז הועלו הטיעונים המביאים, לכאורה , להגשת הבקשה על ידי המשיבים.</w:t>
      </w:r>
    </w:p>
    <w:p w:rsidR="00BE3CF8" w:rsidRDefault="00BE3CF8" w:rsidP="00BE3CF8">
      <w:pPr>
        <w:spacing w:line="360" w:lineRule="auto"/>
        <w:ind w:left="713" w:hanging="572"/>
        <w:jc w:val="both"/>
        <w:rPr>
          <w:rFonts w:ascii="David" w:hAnsi="David"/>
          <w:rtl/>
        </w:rPr>
      </w:pPr>
    </w:p>
    <w:p w:rsidR="00BE3CF8" w:rsidRDefault="00BE3CF8" w:rsidP="00BE3CF8">
      <w:pPr>
        <w:spacing w:line="360" w:lineRule="auto"/>
        <w:ind w:left="-7"/>
        <w:jc w:val="both"/>
        <w:rPr>
          <w:rFonts w:ascii="David" w:hAnsi="David"/>
          <w:rtl/>
        </w:rPr>
      </w:pPr>
      <w:r>
        <w:rPr>
          <w:rFonts w:ascii="David" w:hAnsi="David" w:hint="cs"/>
          <w:rtl/>
        </w:rPr>
        <w:t>12.</w:t>
      </w:r>
      <w:r>
        <w:rPr>
          <w:rFonts w:ascii="David" w:hAnsi="David"/>
          <w:rtl/>
        </w:rPr>
        <w:tab/>
        <w:t>על בסיס המובא והמקובץ לעיל הבקשה נדחית.</w:t>
      </w:r>
    </w:p>
    <w:p w:rsidR="00BE3CF8" w:rsidRDefault="00BE3CF8" w:rsidP="00BE3CF8">
      <w:pPr>
        <w:spacing w:line="360" w:lineRule="auto"/>
        <w:ind w:left="-7"/>
        <w:jc w:val="both"/>
        <w:rPr>
          <w:rFonts w:ascii="David" w:hAnsi="David"/>
          <w:rtl/>
        </w:rPr>
      </w:pPr>
    </w:p>
    <w:p w:rsidR="00BE3CF8" w:rsidRDefault="00BE3CF8" w:rsidP="00BE3CF8">
      <w:pPr>
        <w:spacing w:line="360" w:lineRule="auto"/>
        <w:ind w:left="-7"/>
        <w:jc w:val="both"/>
        <w:rPr>
          <w:rFonts w:ascii="David" w:hAnsi="David"/>
          <w:rtl/>
        </w:rPr>
      </w:pPr>
      <w:r>
        <w:rPr>
          <w:rFonts w:ascii="David" w:hAnsi="David" w:hint="cs"/>
          <w:rtl/>
        </w:rPr>
        <w:t>13</w:t>
      </w:r>
      <w:r>
        <w:rPr>
          <w:rFonts w:ascii="David" w:hAnsi="David"/>
          <w:rtl/>
        </w:rPr>
        <w:t>.</w:t>
      </w:r>
      <w:r>
        <w:rPr>
          <w:rFonts w:ascii="David" w:hAnsi="David"/>
          <w:rtl/>
        </w:rPr>
        <w:tab/>
        <w:t>המבקשים יישאו בהוצאות המשיב בסך 2,500 ₪ .</w:t>
      </w:r>
    </w:p>
    <w:p w:rsidR="00BE3CF8" w:rsidRDefault="00BE3CF8" w:rsidP="00BE3CF8">
      <w:pPr>
        <w:spacing w:line="360" w:lineRule="auto"/>
        <w:ind w:left="-7"/>
        <w:jc w:val="both"/>
        <w:rPr>
          <w:rFonts w:ascii="David" w:hAnsi="David"/>
          <w:rtl/>
        </w:rPr>
      </w:pPr>
    </w:p>
    <w:p w:rsidR="00BE3CF8" w:rsidRDefault="00BE3CF8" w:rsidP="00BE3CF8">
      <w:pPr>
        <w:spacing w:line="360" w:lineRule="auto"/>
        <w:ind w:left="-7"/>
        <w:jc w:val="both"/>
        <w:rPr>
          <w:rFonts w:ascii="David" w:hAnsi="David"/>
          <w:rtl/>
        </w:rPr>
      </w:pPr>
      <w:r>
        <w:rPr>
          <w:rFonts w:ascii="David" w:hAnsi="David" w:hint="cs"/>
          <w:rtl/>
        </w:rPr>
        <w:t>14</w:t>
      </w:r>
      <w:r>
        <w:rPr>
          <w:rFonts w:ascii="David" w:hAnsi="David"/>
          <w:rtl/>
        </w:rPr>
        <w:t>.</w:t>
      </w:r>
      <w:r>
        <w:rPr>
          <w:rFonts w:ascii="David" w:hAnsi="David"/>
          <w:rtl/>
        </w:rPr>
        <w:tab/>
        <w:t>מתיר פרסום ההחלטה בהסתרת פרטים מזהים.</w:t>
      </w:r>
    </w:p>
    <w:p w:rsidR="00BE3CF8" w:rsidRDefault="00BE3CF8" w:rsidP="00BE3CF8">
      <w:pPr>
        <w:spacing w:line="360" w:lineRule="auto"/>
        <w:ind w:left="-7"/>
        <w:jc w:val="both"/>
        <w:rPr>
          <w:rFonts w:ascii="David" w:hAnsi="David"/>
          <w:rtl/>
        </w:rPr>
      </w:pPr>
    </w:p>
    <w:p w:rsidR="00BE3CF8" w:rsidRDefault="00BE3CF8" w:rsidP="00BE3CF8">
      <w:pPr>
        <w:spacing w:line="360" w:lineRule="auto"/>
        <w:ind w:left="-7"/>
        <w:jc w:val="both"/>
        <w:rPr>
          <w:rFonts w:ascii="David" w:hAnsi="David"/>
          <w:rtl/>
        </w:rPr>
      </w:pPr>
      <w:r>
        <w:rPr>
          <w:rFonts w:ascii="David" w:hAnsi="David" w:hint="cs"/>
          <w:rtl/>
        </w:rPr>
        <w:t>15</w:t>
      </w:r>
      <w:r>
        <w:rPr>
          <w:rFonts w:ascii="David" w:hAnsi="David"/>
          <w:rtl/>
        </w:rPr>
        <w:t>.</w:t>
      </w:r>
      <w:r>
        <w:rPr>
          <w:rFonts w:ascii="David" w:hAnsi="David"/>
          <w:rtl/>
        </w:rPr>
        <w:tab/>
        <w:t>תואיל המזכירות לשלוח החלטתי לצדדים</w:t>
      </w:r>
      <w:r>
        <w:rPr>
          <w:rFonts w:ascii="David" w:hAnsi="David" w:hint="cs"/>
          <w:rtl/>
        </w:rPr>
        <w:t xml:space="preserve"> לרבות האפוטרופא לדין </w:t>
      </w:r>
      <w:r>
        <w:rPr>
          <w:rFonts w:ascii="David" w:hAnsi="David"/>
          <w:rtl/>
        </w:rPr>
        <w:t>–</w:t>
      </w:r>
      <w:r>
        <w:rPr>
          <w:rFonts w:ascii="David" w:hAnsi="David" w:hint="cs"/>
          <w:rtl/>
        </w:rPr>
        <w:t xml:space="preserve"> עו"ד טליה גיגי</w:t>
      </w:r>
      <w:r>
        <w:rPr>
          <w:rFonts w:ascii="David" w:hAnsi="David"/>
          <w:rtl/>
        </w:rPr>
        <w:t>.</w:t>
      </w:r>
    </w:p>
    <w:p w:rsidR="00BE3CF8" w:rsidRDefault="00BE3CF8" w:rsidP="00BE3CF8">
      <w:pPr>
        <w:spacing w:line="360" w:lineRule="auto"/>
        <w:ind w:left="-7"/>
        <w:jc w:val="both"/>
        <w:rPr>
          <w:rFonts w:ascii="David" w:hAnsi="David"/>
          <w:rtl/>
        </w:rPr>
      </w:pPr>
      <w:r>
        <w:rPr>
          <w:rFonts w:ascii="David" w:hAnsi="David"/>
          <w:rtl/>
        </w:rPr>
        <w:t xml:space="preserve">   </w:t>
      </w:r>
    </w:p>
    <w:p w:rsidR="00BE3CF8" w:rsidRDefault="00BE3CF8" w:rsidP="00BE3CF8">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י"א כסלו תשפ"ה</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12 דצמבר 2024</w:t>
          </w:r>
        </w:sdtContent>
      </w:sdt>
      <w:r>
        <w:rPr>
          <w:rFonts w:ascii="Arial" w:hAnsi="Arial"/>
          <w:noProof w:val="0"/>
          <w:rtl/>
        </w:rPr>
        <w:t>, בהעדר הצדדים.</w:t>
      </w:r>
    </w:p>
    <w:p w:rsidR="00BE3CF8" w:rsidRDefault="004C7321" w:rsidP="00BE3CF8">
      <w:pPr>
        <w:tabs>
          <w:tab w:val="left" w:pos="2553"/>
        </w:tabs>
        <w:ind w:left="5040"/>
        <w:rPr>
          <w:rtl/>
        </w:rPr>
      </w:pPr>
      <w:sdt>
        <w:sdtPr>
          <w:rPr>
            <w:rFonts w:hint="cs"/>
            <w:rtl/>
          </w:rPr>
          <w:alias w:val="2045"/>
          <w:tag w:val="2045"/>
          <w:id w:val="740689340"/>
          <w:placeholder>
            <w:docPart w:val="386CFF88874B4EF5B8394976139F98C0"/>
          </w:placeholder>
          <w:showingPlcHdr/>
          <w:text w:multiLine="1"/>
        </w:sdtPr>
        <w:sdtEndPr/>
        <w:sdtContent>
          <w:r w:rsidR="00BE3CF8">
            <w:rPr>
              <w:rFonts w:hint="cs"/>
              <w:rtl/>
            </w:rPr>
            <w:t xml:space="preserve">     </w:t>
          </w:r>
        </w:sdtContent>
      </w:sdt>
    </w:p>
    <w:p w:rsidR="00BE3CF8" w:rsidRDefault="00BE3CF8" w:rsidP="00BE3CF8">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239984822"/>
        </w:sdtPr>
        <w:sdtEndPr/>
        <w:sdtContent>
          <w:r>
            <w:drawing>
              <wp:inline distT="0" distB="0" distL="0" distR="0" wp14:anchorId="45FB3B63" wp14:editId="52220D92">
                <wp:extent cx="1685925" cy="10096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5" cstate="print">
                          <a:extLst/>
                        </a:blip>
                        <a:stretch>
                          <a:fillRect/>
                        </a:stretch>
                      </pic:blipFill>
                      <pic:spPr>
                        <a:xfrm>
                          <a:off x="0" y="0"/>
                          <a:ext cx="1685925" cy="1009649"/>
                        </a:xfrm>
                        <a:prstGeom prst="rect">
                          <a:avLst/>
                        </a:prstGeom>
                      </pic:spPr>
                    </pic:pic>
                  </a:graphicData>
                </a:graphic>
              </wp:inline>
            </w:drawing>
          </w:r>
        </w:sdtContent>
      </w:sdt>
    </w:p>
    <w:p w:rsidR="00BE3CF8" w:rsidRDefault="00BE3CF8" w:rsidP="00BE3CF8">
      <w:pPr>
        <w:tabs>
          <w:tab w:val="left" w:pos="2553"/>
        </w:tabs>
        <w:rPr>
          <w:rFonts w:ascii="Arial" w:hAnsi="Arial"/>
          <w:noProof w:val="0"/>
          <w:rtl/>
        </w:rPr>
      </w:pPr>
    </w:p>
    <w:p w:rsidR="00912B11" w:rsidRDefault="00912B11"/>
    <w:sectPr w:rsidR="00912B11" w:rsidSect="00DD2491">
      <w:pgSz w:w="12240" w:h="15840"/>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Miriam">
    <w:panose1 w:val="020B050205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3CF8"/>
    <w:rsid w:val="002B4596"/>
    <w:rsid w:val="004C7321"/>
    <w:rsid w:val="00912B11"/>
    <w:rsid w:val="00BE3CF8"/>
    <w:rsid w:val="00D52136"/>
    <w:rsid w:val="00DD2491"/>
    <w:rsid w:val="00F676E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182C065-C104-4162-8D27-1D995AD4F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3CF8"/>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52136"/>
    <w:pPr>
      <w:spacing w:after="160" w:line="259" w:lineRule="auto"/>
      <w:ind w:left="720"/>
      <w:contextualSpacing/>
    </w:pPr>
    <w:rPr>
      <w:rFonts w:asciiTheme="minorHAnsi" w:eastAsiaTheme="minorHAnsi" w:hAnsiTheme="minorHAnsi" w:cstheme="minorBidi"/>
      <w:noProof w:val="0"/>
      <w:sz w:val="22"/>
      <w:szCs w:val="22"/>
    </w:rPr>
  </w:style>
  <w:style w:type="table" w:styleId="a4">
    <w:name w:val="Table Grid"/>
    <w:basedOn w:val="a1"/>
    <w:rsid w:val="00BE3CF8"/>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rsid w:val="00BE3CF8"/>
    <w:pPr>
      <w:tabs>
        <w:tab w:val="center" w:pos="4153"/>
        <w:tab w:val="right" w:pos="8306"/>
      </w:tabs>
    </w:pPr>
  </w:style>
  <w:style w:type="character" w:customStyle="1" w:styleId="a6">
    <w:name w:val="כותרת עליונה תו"/>
    <w:basedOn w:val="a0"/>
    <w:link w:val="a5"/>
    <w:rsid w:val="00BE3CF8"/>
    <w:rPr>
      <w:rFonts w:ascii="Times New Roman" w:eastAsia="Times New Roman" w:hAnsi="Times New Roman" w:cs="David"/>
      <w:noProof/>
      <w:sz w:val="24"/>
      <w:szCs w:val="24"/>
    </w:rPr>
  </w:style>
  <w:style w:type="paragraph" w:styleId="NormalWeb">
    <w:name w:val="Normal (Web)"/>
    <w:basedOn w:val="a"/>
    <w:uiPriority w:val="99"/>
    <w:semiHidden/>
    <w:unhideWhenUsed/>
    <w:rsid w:val="00BE3CF8"/>
    <w:pPr>
      <w:bidi w:val="0"/>
      <w:spacing w:before="100" w:beforeAutospacing="1" w:after="100" w:afterAutospacing="1"/>
    </w:pPr>
    <w:rPr>
      <w:rFonts w:eastAsiaTheme="minorEastAsia" w:cs="Times New Roman"/>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glossaryDocument" Target="glossary/document.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g"/><Relationship Id="rId4"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86CFF88874B4EF5B8394976139F98C0"/>
        <w:category>
          <w:name w:val="כללי"/>
          <w:gallery w:val="placeholder"/>
        </w:category>
        <w:types>
          <w:type w:val="bbPlcHdr"/>
        </w:types>
        <w:behaviors>
          <w:behavior w:val="content"/>
        </w:behaviors>
        <w:guid w:val="{245B6C95-B516-48C4-8C82-10FD4F3C39C4}"/>
      </w:docPartPr>
      <w:docPartBody>
        <w:p w:rsidR="00E3665B" w:rsidRDefault="00BF1ED7" w:rsidP="00BF1ED7">
          <w:pPr>
            <w:pStyle w:val="386CFF88874B4EF5B8394976139F98C0"/>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Miriam">
    <w:panose1 w:val="020B050205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1ED7"/>
    <w:rsid w:val="001D7514"/>
    <w:rsid w:val="00321EF9"/>
    <w:rsid w:val="008C5ED5"/>
    <w:rsid w:val="00BF1ED7"/>
    <w:rsid w:val="00E3665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86CFF88874B4EF5B8394976139F98C0">
    <w:name w:val="386CFF88874B4EF5B8394976139F98C0"/>
    <w:rsid w:val="00BF1ED7"/>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1364</Words>
  <Characters>6825</Characters>
  <Application>Microsoft Office Word</Application>
  <DocSecurity>0</DocSecurity>
  <Lines>56</Lines>
  <Paragraphs>16</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8173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מרדכי (מוטי) לוי</dc:creator>
  <cp:keywords/>
  <dc:description/>
  <cp:lastModifiedBy>אסתר טטרואשילי</cp:lastModifiedBy>
  <cp:revision>2</cp:revision>
  <dcterms:created xsi:type="dcterms:W3CDTF">2024-12-26T08:27:00Z</dcterms:created>
  <dcterms:modified xsi:type="dcterms:W3CDTF">2024-12-26T08:27:00Z</dcterms:modified>
</cp:coreProperties>
</file>